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8EFD3" w14:textId="77777777" w:rsidR="0033492F" w:rsidRPr="00476037" w:rsidRDefault="0033492F" w:rsidP="0033492F">
      <w:pPr>
        <w:rPr>
          <w:rFonts w:cstheme="minorHAnsi"/>
        </w:rPr>
      </w:pPr>
      <w:r w:rsidRPr="00476037">
        <w:rPr>
          <w:rFonts w:cstheme="minorHAnsi"/>
          <w:noProof/>
        </w:rPr>
        <w:drawing>
          <wp:inline distT="0" distB="0" distL="0" distR="0" wp14:anchorId="2AEA3B4D" wp14:editId="76F1B849">
            <wp:extent cx="52673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inline>
        </w:drawing>
      </w:r>
    </w:p>
    <w:p w14:paraId="54954E0A" w14:textId="77777777" w:rsidR="0033492F" w:rsidRPr="00476037" w:rsidRDefault="0033492F" w:rsidP="0033492F">
      <w:pPr>
        <w:spacing w:after="0" w:line="240" w:lineRule="auto"/>
        <w:jc w:val="center"/>
        <w:rPr>
          <w:rFonts w:cstheme="minorHAnsi"/>
          <w:bCs/>
        </w:rPr>
      </w:pPr>
      <w:r w:rsidRPr="00476037">
        <w:rPr>
          <w:rFonts w:cstheme="minorHAnsi"/>
          <w:bCs/>
        </w:rPr>
        <w:t>The Pavilion, Broomhall Lane, Sunningdale, SL5 0QS</w:t>
      </w:r>
    </w:p>
    <w:p w14:paraId="7EDFAE0B" w14:textId="77777777" w:rsidR="0033492F" w:rsidRPr="00476037" w:rsidRDefault="0033492F" w:rsidP="0033492F">
      <w:pPr>
        <w:numPr>
          <w:ilvl w:val="0"/>
          <w:numId w:val="23"/>
        </w:numPr>
        <w:spacing w:after="0" w:line="240" w:lineRule="auto"/>
        <w:jc w:val="center"/>
        <w:rPr>
          <w:rFonts w:cstheme="minorHAnsi"/>
          <w:bCs/>
        </w:rPr>
      </w:pPr>
      <w:r w:rsidRPr="00476037">
        <w:rPr>
          <w:rFonts w:cstheme="minorHAnsi"/>
          <w:bCs/>
        </w:rPr>
        <w:t>01344 874268</w:t>
      </w:r>
    </w:p>
    <w:p w14:paraId="6624E916" w14:textId="77777777" w:rsidR="0033492F" w:rsidRPr="00476037" w:rsidRDefault="0033492F" w:rsidP="0033492F">
      <w:pPr>
        <w:spacing w:after="0" w:line="240" w:lineRule="auto"/>
        <w:jc w:val="center"/>
        <w:rPr>
          <w:rFonts w:cstheme="minorHAnsi"/>
          <w:bCs/>
        </w:rPr>
      </w:pPr>
      <w:r w:rsidRPr="00476037">
        <w:rPr>
          <w:rFonts w:cstheme="minorHAnsi"/>
          <w:bCs/>
        </w:rPr>
        <w:t>Email:  info@sunningdaleparish.org.uk</w:t>
      </w:r>
    </w:p>
    <w:p w14:paraId="310ECC08" w14:textId="77777777" w:rsidR="0033492F" w:rsidRPr="00476037" w:rsidRDefault="00EA7870" w:rsidP="0033492F">
      <w:pPr>
        <w:spacing w:after="0" w:line="240" w:lineRule="auto"/>
        <w:jc w:val="center"/>
        <w:rPr>
          <w:rFonts w:cstheme="minorHAnsi"/>
          <w:bCs/>
        </w:rPr>
      </w:pPr>
      <w:hyperlink r:id="rId12" w:history="1">
        <w:r w:rsidR="0033492F" w:rsidRPr="00476037">
          <w:rPr>
            <w:rStyle w:val="Hyperlink"/>
            <w:rFonts w:cstheme="minorHAnsi"/>
            <w:bCs/>
          </w:rPr>
          <w:t>www.sunningdale-pc.org.uk</w:t>
        </w:r>
      </w:hyperlink>
    </w:p>
    <w:p w14:paraId="1FB61CFC" w14:textId="77777777" w:rsidR="0033492F" w:rsidRDefault="0033492F" w:rsidP="0033492F">
      <w:pPr>
        <w:spacing w:after="0" w:line="240" w:lineRule="auto"/>
        <w:jc w:val="center"/>
        <w:rPr>
          <w:rFonts w:cstheme="minorHAnsi"/>
          <w:bCs/>
        </w:rPr>
      </w:pPr>
      <w:r w:rsidRPr="00476037">
        <w:rPr>
          <w:rFonts w:cstheme="minorHAnsi"/>
          <w:bCs/>
        </w:rPr>
        <w:t>Clerk:  Ruth Davies</w:t>
      </w:r>
    </w:p>
    <w:p w14:paraId="2882AD5D" w14:textId="77777777" w:rsidR="0033492F" w:rsidRPr="00476037" w:rsidRDefault="0033492F" w:rsidP="0033492F">
      <w:pPr>
        <w:jc w:val="center"/>
        <w:rPr>
          <w:rFonts w:cstheme="minorHAnsi"/>
          <w:bCs/>
        </w:rPr>
      </w:pPr>
    </w:p>
    <w:p w14:paraId="38419D01" w14:textId="5741A302" w:rsidR="0033492F" w:rsidRPr="00476037" w:rsidRDefault="00E80AD9" w:rsidP="0033492F">
      <w:pPr>
        <w:rPr>
          <w:rFonts w:cstheme="minorHAnsi"/>
        </w:rPr>
      </w:pPr>
      <w:r>
        <w:rPr>
          <w:rFonts w:cstheme="minorHAnsi"/>
        </w:rPr>
        <w:t>2</w:t>
      </w:r>
      <w:r w:rsidR="00FC3FBA">
        <w:rPr>
          <w:rFonts w:cstheme="minorHAnsi"/>
        </w:rPr>
        <w:t>5</w:t>
      </w:r>
      <w:r>
        <w:rPr>
          <w:rFonts w:cstheme="minorHAnsi"/>
        </w:rPr>
        <w:t xml:space="preserve"> May</w:t>
      </w:r>
      <w:r w:rsidR="0033492F" w:rsidRPr="00781735">
        <w:rPr>
          <w:rFonts w:cstheme="minorHAnsi"/>
        </w:rPr>
        <w:t xml:space="preserve"> 2020</w:t>
      </w:r>
    </w:p>
    <w:p w14:paraId="1D2C56B4" w14:textId="547B8ABF" w:rsidR="0033492F" w:rsidRPr="00476037" w:rsidRDefault="00F9742B" w:rsidP="0033492F">
      <w:pPr>
        <w:pStyle w:val="NoSpacing"/>
        <w:rPr>
          <w:rFonts w:asciiTheme="minorHAnsi" w:hAnsiTheme="minorHAnsi" w:cstheme="minorHAnsi"/>
        </w:rPr>
      </w:pPr>
      <w:r>
        <w:rPr>
          <w:rFonts w:asciiTheme="minorHAnsi" w:hAnsiTheme="minorHAnsi" w:cstheme="minorHAnsi"/>
        </w:rPr>
        <w:t>Victoria Gibson</w:t>
      </w:r>
    </w:p>
    <w:p w14:paraId="4906E984" w14:textId="77777777" w:rsidR="0033492F" w:rsidRPr="00476037" w:rsidRDefault="0033492F" w:rsidP="0033492F">
      <w:pPr>
        <w:pStyle w:val="NoSpacing"/>
        <w:rPr>
          <w:rFonts w:asciiTheme="minorHAnsi" w:hAnsiTheme="minorHAnsi" w:cstheme="minorHAnsi"/>
        </w:rPr>
      </w:pPr>
      <w:r w:rsidRPr="00476037">
        <w:rPr>
          <w:rFonts w:asciiTheme="minorHAnsi" w:hAnsiTheme="minorHAnsi" w:cstheme="minorHAnsi"/>
        </w:rPr>
        <w:t>Royal Borough of Windsor and Maidenhead</w:t>
      </w:r>
    </w:p>
    <w:p w14:paraId="29395AA6" w14:textId="77777777" w:rsidR="0033492F" w:rsidRPr="00476037" w:rsidRDefault="0033492F" w:rsidP="0033492F">
      <w:pPr>
        <w:pStyle w:val="NoSpacing"/>
        <w:rPr>
          <w:rFonts w:asciiTheme="minorHAnsi" w:hAnsiTheme="minorHAnsi" w:cstheme="minorHAnsi"/>
        </w:rPr>
      </w:pPr>
      <w:r w:rsidRPr="00476037">
        <w:rPr>
          <w:rFonts w:asciiTheme="minorHAnsi" w:hAnsiTheme="minorHAnsi" w:cstheme="minorHAnsi"/>
        </w:rPr>
        <w:t>Town Hall, St Ives Road</w:t>
      </w:r>
    </w:p>
    <w:p w14:paraId="18576926" w14:textId="77777777" w:rsidR="0033492F" w:rsidRPr="00476037" w:rsidRDefault="0033492F" w:rsidP="0033492F">
      <w:pPr>
        <w:pStyle w:val="NoSpacing"/>
        <w:rPr>
          <w:rFonts w:asciiTheme="minorHAnsi" w:hAnsiTheme="minorHAnsi" w:cstheme="minorHAnsi"/>
        </w:rPr>
      </w:pPr>
      <w:r w:rsidRPr="00476037">
        <w:rPr>
          <w:rFonts w:asciiTheme="minorHAnsi" w:hAnsiTheme="minorHAnsi" w:cstheme="minorHAnsi"/>
        </w:rPr>
        <w:t>Maidenhead, Berks SL6 1RF</w:t>
      </w:r>
    </w:p>
    <w:p w14:paraId="6C699E49" w14:textId="77777777" w:rsidR="0033492F" w:rsidRPr="00476037" w:rsidRDefault="0033492F" w:rsidP="0033492F">
      <w:pPr>
        <w:rPr>
          <w:rFonts w:cstheme="minorHAnsi"/>
        </w:rPr>
      </w:pPr>
    </w:p>
    <w:p w14:paraId="1B44E5D3" w14:textId="4CCC4A8F" w:rsidR="002871F2" w:rsidRPr="002871F2" w:rsidRDefault="002871F2" w:rsidP="002871F2">
      <w:pPr>
        <w:jc w:val="center"/>
        <w:rPr>
          <w:rStyle w:val="casenumber"/>
          <w:rFonts w:ascii="Arial" w:hAnsi="Arial" w:cs="Arial"/>
          <w:b/>
          <w:bCs/>
          <w:color w:val="333333"/>
          <w:sz w:val="23"/>
          <w:szCs w:val="23"/>
          <w:shd w:val="clear" w:color="auto" w:fill="FFFFFF"/>
        </w:rPr>
      </w:pPr>
      <w:r w:rsidRPr="002871F2">
        <w:rPr>
          <w:rStyle w:val="casenumber"/>
          <w:rFonts w:ascii="Arial" w:hAnsi="Arial" w:cs="Arial"/>
          <w:b/>
          <w:bCs/>
          <w:color w:val="333333"/>
          <w:sz w:val="23"/>
          <w:szCs w:val="23"/>
          <w:shd w:val="clear" w:color="auto" w:fill="FFFFFF"/>
        </w:rPr>
        <w:t>20/00969/FULL</w:t>
      </w:r>
    </w:p>
    <w:p w14:paraId="294092AF" w14:textId="1781F9E7" w:rsidR="002871F2" w:rsidRPr="002871F2" w:rsidRDefault="002871F2" w:rsidP="002871F2">
      <w:pPr>
        <w:jc w:val="center"/>
        <w:rPr>
          <w:rStyle w:val="address"/>
          <w:rFonts w:ascii="Arial" w:hAnsi="Arial" w:cs="Arial"/>
          <w:b/>
          <w:bCs/>
          <w:color w:val="333333"/>
          <w:sz w:val="23"/>
          <w:szCs w:val="23"/>
          <w:shd w:val="clear" w:color="auto" w:fill="FFFFFF"/>
        </w:rPr>
      </w:pPr>
      <w:r w:rsidRPr="002871F2">
        <w:rPr>
          <w:rStyle w:val="description"/>
          <w:rFonts w:ascii="Arial" w:hAnsi="Arial" w:cs="Arial"/>
          <w:b/>
          <w:bCs/>
          <w:color w:val="333333"/>
          <w:sz w:val="23"/>
          <w:szCs w:val="23"/>
          <w:shd w:val="clear" w:color="auto" w:fill="FFFFFF"/>
        </w:rPr>
        <w:t xml:space="preserve">The development of a community health hub (Use Class D1) with associated parking, access and landscaping. </w:t>
      </w:r>
      <w:r>
        <w:rPr>
          <w:rStyle w:val="description"/>
          <w:rFonts w:ascii="Arial" w:hAnsi="Arial" w:cs="Arial"/>
          <w:b/>
          <w:bCs/>
          <w:color w:val="333333"/>
          <w:sz w:val="23"/>
          <w:szCs w:val="23"/>
          <w:shd w:val="clear" w:color="auto" w:fill="FFFFFF"/>
        </w:rPr>
        <w:t xml:space="preserve"> </w:t>
      </w:r>
      <w:r w:rsidRPr="002871F2">
        <w:rPr>
          <w:rStyle w:val="address"/>
          <w:rFonts w:ascii="Arial" w:hAnsi="Arial" w:cs="Arial"/>
          <w:b/>
          <w:bCs/>
          <w:color w:val="333333"/>
          <w:sz w:val="23"/>
          <w:szCs w:val="23"/>
          <w:shd w:val="clear" w:color="auto" w:fill="FFFFFF"/>
        </w:rPr>
        <w:t xml:space="preserve">Land </w:t>
      </w:r>
      <w:r w:rsidR="000E0440">
        <w:rPr>
          <w:rStyle w:val="address"/>
          <w:rFonts w:ascii="Arial" w:hAnsi="Arial" w:cs="Arial"/>
          <w:b/>
          <w:bCs/>
          <w:color w:val="333333"/>
          <w:sz w:val="23"/>
          <w:szCs w:val="23"/>
          <w:shd w:val="clear" w:color="auto" w:fill="FFFFFF"/>
        </w:rPr>
        <w:t>t</w:t>
      </w:r>
      <w:r w:rsidRPr="002871F2">
        <w:rPr>
          <w:rStyle w:val="address"/>
          <w:rFonts w:ascii="Arial" w:hAnsi="Arial" w:cs="Arial"/>
          <w:b/>
          <w:bCs/>
          <w:color w:val="333333"/>
          <w:sz w:val="23"/>
          <w:szCs w:val="23"/>
          <w:shd w:val="clear" w:color="auto" w:fill="FFFFFF"/>
        </w:rPr>
        <w:t>o The North Lynwood Crescent Sunningdale Ascot</w:t>
      </w:r>
    </w:p>
    <w:p w14:paraId="35AE16A2" w14:textId="72A70297" w:rsidR="008C7DC1" w:rsidRPr="00B878D6" w:rsidRDefault="008C7DC1">
      <w:pPr>
        <w:rPr>
          <w:rFonts w:cstheme="minorHAnsi"/>
        </w:rPr>
      </w:pPr>
    </w:p>
    <w:p w14:paraId="1519C291" w14:textId="5810F68D" w:rsidR="004B1D85" w:rsidRPr="00B878D6" w:rsidRDefault="004B1D85">
      <w:pPr>
        <w:rPr>
          <w:rFonts w:cstheme="minorHAnsi"/>
        </w:rPr>
      </w:pPr>
      <w:r w:rsidRPr="00B878D6">
        <w:rPr>
          <w:rFonts w:cstheme="minorHAnsi"/>
        </w:rPr>
        <w:t xml:space="preserve">This is the </w:t>
      </w:r>
      <w:r w:rsidR="00887AE7" w:rsidRPr="00B878D6">
        <w:rPr>
          <w:rFonts w:cstheme="minorHAnsi"/>
        </w:rPr>
        <w:t>third</w:t>
      </w:r>
      <w:r w:rsidRPr="00B878D6">
        <w:rPr>
          <w:rFonts w:cstheme="minorHAnsi"/>
        </w:rPr>
        <w:t xml:space="preserve"> </w:t>
      </w:r>
      <w:r w:rsidR="00887AE7" w:rsidRPr="00B878D6">
        <w:rPr>
          <w:rFonts w:cstheme="minorHAnsi"/>
        </w:rPr>
        <w:t>application</w:t>
      </w:r>
      <w:r w:rsidRPr="00B878D6">
        <w:rPr>
          <w:rFonts w:cstheme="minorHAnsi"/>
        </w:rPr>
        <w:t xml:space="preserve"> for a</w:t>
      </w:r>
      <w:r w:rsidR="000F361E">
        <w:rPr>
          <w:rFonts w:cstheme="minorHAnsi"/>
        </w:rPr>
        <w:t xml:space="preserve"> </w:t>
      </w:r>
      <w:r w:rsidR="009F5557">
        <w:rPr>
          <w:rFonts w:cstheme="minorHAnsi"/>
        </w:rPr>
        <w:t>c</w:t>
      </w:r>
      <w:r w:rsidR="00311074" w:rsidRPr="00B878D6">
        <w:rPr>
          <w:rFonts w:cstheme="minorHAnsi"/>
        </w:rPr>
        <w:t xml:space="preserve">ommunity health </w:t>
      </w:r>
      <w:r w:rsidR="009F5557">
        <w:rPr>
          <w:rFonts w:cstheme="minorHAnsi"/>
        </w:rPr>
        <w:t>h</w:t>
      </w:r>
      <w:r w:rsidR="00311074" w:rsidRPr="00B878D6">
        <w:rPr>
          <w:rFonts w:cstheme="minorHAnsi"/>
        </w:rPr>
        <w:t>ub</w:t>
      </w:r>
      <w:r w:rsidR="00887AE7" w:rsidRPr="00B878D6">
        <w:rPr>
          <w:rFonts w:cstheme="minorHAnsi"/>
        </w:rPr>
        <w:t xml:space="preserve"> since 2013</w:t>
      </w:r>
      <w:r w:rsidR="003B5DF7">
        <w:rPr>
          <w:rFonts w:cstheme="minorHAnsi"/>
        </w:rPr>
        <w:t>.</w:t>
      </w:r>
    </w:p>
    <w:p w14:paraId="0894FA47" w14:textId="673770EC" w:rsidR="00311074" w:rsidRPr="00B878D6" w:rsidRDefault="002E2622" w:rsidP="00311074">
      <w:pPr>
        <w:pStyle w:val="ListParagraph"/>
        <w:numPr>
          <w:ilvl w:val="0"/>
          <w:numId w:val="1"/>
        </w:numPr>
        <w:rPr>
          <w:rFonts w:cstheme="minorHAnsi"/>
        </w:rPr>
      </w:pPr>
      <w:r w:rsidRPr="00B878D6">
        <w:rPr>
          <w:rFonts w:cstheme="minorHAnsi"/>
        </w:rPr>
        <w:t xml:space="preserve">13/03511 was </w:t>
      </w:r>
      <w:r w:rsidRPr="00A72B56">
        <w:rPr>
          <w:rFonts w:cstheme="minorHAnsi"/>
          <w:b/>
          <w:bCs/>
        </w:rPr>
        <w:t>refused</w:t>
      </w:r>
      <w:r w:rsidRPr="00B878D6">
        <w:rPr>
          <w:rFonts w:cstheme="minorHAnsi"/>
        </w:rPr>
        <w:t>. The reasons given were:</w:t>
      </w:r>
    </w:p>
    <w:p w14:paraId="18B44749" w14:textId="77777777" w:rsidR="00CF4E89" w:rsidRPr="00B878D6" w:rsidRDefault="00CF4E89" w:rsidP="00CF4E89">
      <w:pPr>
        <w:pStyle w:val="ListParagraph"/>
        <w:rPr>
          <w:rFonts w:cstheme="minorHAnsi"/>
        </w:rPr>
      </w:pPr>
    </w:p>
    <w:p w14:paraId="6CA4364A" w14:textId="3940145A" w:rsidR="00CF4E89" w:rsidRPr="00B878D6" w:rsidRDefault="002E2622" w:rsidP="002E2622">
      <w:pPr>
        <w:pStyle w:val="ListParagraph"/>
        <w:numPr>
          <w:ilvl w:val="1"/>
          <w:numId w:val="1"/>
        </w:numPr>
        <w:rPr>
          <w:rFonts w:cstheme="minorHAnsi"/>
        </w:rPr>
      </w:pPr>
      <w:r w:rsidRPr="00B878D6">
        <w:rPr>
          <w:rFonts w:cstheme="minorHAnsi"/>
        </w:rPr>
        <w:t>The proposed building represent</w:t>
      </w:r>
      <w:r w:rsidR="00F806F0" w:rsidRPr="00B878D6">
        <w:rPr>
          <w:rFonts w:cstheme="minorHAnsi"/>
        </w:rPr>
        <w:t>ed</w:t>
      </w:r>
      <w:r w:rsidRPr="00B878D6">
        <w:rPr>
          <w:rFonts w:cstheme="minorHAnsi"/>
        </w:rPr>
        <w:t xml:space="preserve"> encroachment and inappropriate development in the Green Belt </w:t>
      </w:r>
    </w:p>
    <w:p w14:paraId="0FEA07F2" w14:textId="37A4B5A7" w:rsidR="00A26930" w:rsidRPr="00B878D6" w:rsidRDefault="00CF4E89" w:rsidP="002E2622">
      <w:pPr>
        <w:pStyle w:val="ListParagraph"/>
        <w:numPr>
          <w:ilvl w:val="1"/>
          <w:numId w:val="1"/>
        </w:numPr>
        <w:rPr>
          <w:rFonts w:cstheme="minorHAnsi"/>
        </w:rPr>
      </w:pPr>
      <w:r w:rsidRPr="00B878D6">
        <w:rPr>
          <w:rFonts w:cstheme="minorHAnsi"/>
        </w:rPr>
        <w:t>Th</w:t>
      </w:r>
      <w:r w:rsidR="002E2622" w:rsidRPr="00B878D6">
        <w:rPr>
          <w:rFonts w:cstheme="minorHAnsi"/>
        </w:rPr>
        <w:t xml:space="preserve">e Local Planning Authority </w:t>
      </w:r>
      <w:r w:rsidR="00F806F0" w:rsidRPr="00B878D6">
        <w:rPr>
          <w:rFonts w:cstheme="minorHAnsi"/>
        </w:rPr>
        <w:t>wa</w:t>
      </w:r>
      <w:r w:rsidR="002E2622" w:rsidRPr="00B878D6">
        <w:rPr>
          <w:rFonts w:cstheme="minorHAnsi"/>
        </w:rPr>
        <w:t>s not persuaded that very special circumstances exist</w:t>
      </w:r>
      <w:r w:rsidR="00CC63BE">
        <w:rPr>
          <w:rFonts w:cstheme="minorHAnsi"/>
        </w:rPr>
        <w:t>e</w:t>
      </w:r>
      <w:r w:rsidR="00F806F0" w:rsidRPr="00B878D6">
        <w:rPr>
          <w:rFonts w:cstheme="minorHAnsi"/>
        </w:rPr>
        <w:t>d</w:t>
      </w:r>
      <w:r w:rsidR="002E2622" w:rsidRPr="00B878D6">
        <w:rPr>
          <w:rFonts w:cstheme="minorHAnsi"/>
        </w:rPr>
        <w:t xml:space="preserve"> which would justify approval in the context of established policies for controlling development in the Green Belt. </w:t>
      </w:r>
    </w:p>
    <w:p w14:paraId="05156DE6" w14:textId="77777777" w:rsidR="008801E0" w:rsidRPr="00B878D6" w:rsidRDefault="002E2622" w:rsidP="002E2622">
      <w:pPr>
        <w:pStyle w:val="ListParagraph"/>
        <w:numPr>
          <w:ilvl w:val="1"/>
          <w:numId w:val="1"/>
        </w:numPr>
        <w:rPr>
          <w:rFonts w:cstheme="minorHAnsi"/>
        </w:rPr>
      </w:pPr>
      <w:r w:rsidRPr="00B878D6">
        <w:rPr>
          <w:rFonts w:cstheme="minorHAnsi"/>
        </w:rPr>
        <w:t>Th</w:t>
      </w:r>
      <w:r w:rsidR="00A26930" w:rsidRPr="00B878D6">
        <w:rPr>
          <w:rFonts w:cstheme="minorHAnsi"/>
        </w:rPr>
        <w:t xml:space="preserve">e </w:t>
      </w:r>
      <w:r w:rsidRPr="00B878D6">
        <w:rPr>
          <w:rFonts w:cstheme="minorHAnsi"/>
        </w:rPr>
        <w:t>site is identified as an important gap between Sunninghill and Sunningdale. The whole site is considered to be an important open gap and to develop the site with extra care units and associated parking and pathways</w:t>
      </w:r>
      <w:r w:rsidR="00A26930" w:rsidRPr="00B878D6">
        <w:rPr>
          <w:rFonts w:cstheme="minorHAnsi"/>
        </w:rPr>
        <w:t xml:space="preserve"> would</w:t>
      </w:r>
      <w:r w:rsidRPr="00B878D6">
        <w:rPr>
          <w:rFonts w:cstheme="minorHAnsi"/>
        </w:rPr>
        <w:t xml:space="preserve"> be harmful to its character and will reduce the open nature of the site </w:t>
      </w:r>
    </w:p>
    <w:p w14:paraId="3E49AD4D" w14:textId="2BF68DD0" w:rsidR="008801E0" w:rsidRPr="00B878D6" w:rsidRDefault="002E2622" w:rsidP="002E2622">
      <w:pPr>
        <w:pStyle w:val="ListParagraph"/>
        <w:numPr>
          <w:ilvl w:val="1"/>
          <w:numId w:val="1"/>
        </w:numPr>
        <w:rPr>
          <w:rFonts w:cstheme="minorHAnsi"/>
        </w:rPr>
      </w:pPr>
      <w:r w:rsidRPr="00B878D6">
        <w:rPr>
          <w:rFonts w:cstheme="minorHAnsi"/>
        </w:rPr>
        <w:t>The proposal d</w:t>
      </w:r>
      <w:r w:rsidR="008801E0" w:rsidRPr="00B878D6">
        <w:rPr>
          <w:rFonts w:cstheme="minorHAnsi"/>
        </w:rPr>
        <w:t>id</w:t>
      </w:r>
      <w:r w:rsidRPr="00B878D6">
        <w:rPr>
          <w:rFonts w:cstheme="minorHAnsi"/>
        </w:rPr>
        <w:t xml:space="preserve"> not comply with the Authority’s parking standard and if allowed would lead to indiscriminate parking on Rise Road/Kings Road, Park </w:t>
      </w:r>
      <w:r w:rsidR="005C3E12" w:rsidRPr="00B878D6">
        <w:rPr>
          <w:rFonts w:cstheme="minorHAnsi"/>
        </w:rPr>
        <w:t>Crescent,</w:t>
      </w:r>
      <w:r w:rsidRPr="00B878D6">
        <w:rPr>
          <w:rFonts w:cstheme="minorHAnsi"/>
        </w:rPr>
        <w:t xml:space="preserve"> and the surrounding road network. </w:t>
      </w:r>
    </w:p>
    <w:p w14:paraId="30763CC6" w14:textId="62AAAEF1" w:rsidR="008C7DC1" w:rsidRDefault="002E2622" w:rsidP="008801E0">
      <w:pPr>
        <w:pStyle w:val="ListParagraph"/>
        <w:numPr>
          <w:ilvl w:val="1"/>
          <w:numId w:val="1"/>
        </w:numPr>
        <w:rPr>
          <w:rFonts w:cstheme="minorHAnsi"/>
        </w:rPr>
      </w:pPr>
      <w:r w:rsidRPr="00B878D6">
        <w:rPr>
          <w:rFonts w:cstheme="minorHAnsi"/>
        </w:rPr>
        <w:t xml:space="preserve">The proposed development will have an adverse impact on the protected trees on the site. </w:t>
      </w:r>
    </w:p>
    <w:p w14:paraId="49064DE9" w14:textId="77777777" w:rsidR="00B878D6" w:rsidRPr="00B878D6" w:rsidRDefault="00B878D6" w:rsidP="00B878D6">
      <w:pPr>
        <w:pStyle w:val="ListParagraph"/>
        <w:ind w:left="1440"/>
        <w:rPr>
          <w:rFonts w:cstheme="minorHAnsi"/>
        </w:rPr>
      </w:pPr>
    </w:p>
    <w:p w14:paraId="39C38C4F" w14:textId="54F3EFBD" w:rsidR="008801E0" w:rsidRPr="00B878D6" w:rsidRDefault="008801E0" w:rsidP="008801E0">
      <w:pPr>
        <w:pStyle w:val="ListParagraph"/>
        <w:numPr>
          <w:ilvl w:val="0"/>
          <w:numId w:val="1"/>
        </w:numPr>
        <w:rPr>
          <w:rFonts w:cstheme="minorHAnsi"/>
        </w:rPr>
      </w:pPr>
      <w:r w:rsidRPr="00B878D6">
        <w:rPr>
          <w:rFonts w:cstheme="minorHAnsi"/>
        </w:rPr>
        <w:t>17</w:t>
      </w:r>
      <w:r w:rsidR="0091766D" w:rsidRPr="00B878D6">
        <w:rPr>
          <w:rFonts w:cstheme="minorHAnsi"/>
        </w:rPr>
        <w:t xml:space="preserve">/01188 was </w:t>
      </w:r>
      <w:r w:rsidR="0091766D" w:rsidRPr="00A72B56">
        <w:rPr>
          <w:rFonts w:cstheme="minorHAnsi"/>
          <w:b/>
          <w:bCs/>
        </w:rPr>
        <w:t>withdrawn</w:t>
      </w:r>
      <w:r w:rsidR="00EF1C3F" w:rsidRPr="00B878D6">
        <w:rPr>
          <w:rFonts w:cstheme="minorHAnsi"/>
        </w:rPr>
        <w:t xml:space="preserve"> </w:t>
      </w:r>
      <w:r w:rsidR="00AD1D86" w:rsidRPr="00B878D6">
        <w:rPr>
          <w:rFonts w:cstheme="minorHAnsi"/>
        </w:rPr>
        <w:t>in October 2019</w:t>
      </w:r>
      <w:r w:rsidR="002F2143" w:rsidRPr="00B878D6">
        <w:rPr>
          <w:rFonts w:cstheme="minorHAnsi"/>
        </w:rPr>
        <w:t xml:space="preserve">. A number of concerns </w:t>
      </w:r>
      <w:r w:rsidR="009E5C67" w:rsidRPr="00B878D6">
        <w:rPr>
          <w:rFonts w:cstheme="minorHAnsi"/>
        </w:rPr>
        <w:t>had</w:t>
      </w:r>
      <w:r w:rsidR="002F2143" w:rsidRPr="00B878D6">
        <w:rPr>
          <w:rFonts w:cstheme="minorHAnsi"/>
        </w:rPr>
        <w:t xml:space="preserve"> been raised </w:t>
      </w:r>
      <w:r w:rsidR="009E5C67" w:rsidRPr="00B878D6">
        <w:rPr>
          <w:rFonts w:cstheme="minorHAnsi"/>
        </w:rPr>
        <w:t>w</w:t>
      </w:r>
      <w:r w:rsidR="002F2143" w:rsidRPr="00B878D6">
        <w:rPr>
          <w:rFonts w:cstheme="minorHAnsi"/>
        </w:rPr>
        <w:t>ith th</w:t>
      </w:r>
      <w:r w:rsidR="009E5C67" w:rsidRPr="00B878D6">
        <w:rPr>
          <w:rFonts w:cstheme="minorHAnsi"/>
        </w:rPr>
        <w:t>e</w:t>
      </w:r>
      <w:r w:rsidR="002F2143" w:rsidRPr="00B878D6">
        <w:rPr>
          <w:rFonts w:cstheme="minorHAnsi"/>
        </w:rPr>
        <w:t xml:space="preserve"> applicant </w:t>
      </w:r>
      <w:r w:rsidR="00B83783" w:rsidRPr="00B878D6">
        <w:rPr>
          <w:rFonts w:cstheme="minorHAnsi"/>
        </w:rPr>
        <w:t xml:space="preserve">of </w:t>
      </w:r>
      <w:r w:rsidR="0090652F" w:rsidRPr="00B878D6">
        <w:rPr>
          <w:rFonts w:cstheme="minorHAnsi"/>
        </w:rPr>
        <w:t xml:space="preserve">which </w:t>
      </w:r>
      <w:r w:rsidR="00B83783" w:rsidRPr="00B878D6">
        <w:rPr>
          <w:rFonts w:cstheme="minorHAnsi"/>
        </w:rPr>
        <w:t xml:space="preserve">the key ones </w:t>
      </w:r>
      <w:r w:rsidR="0090652F" w:rsidRPr="00B878D6">
        <w:rPr>
          <w:rFonts w:cstheme="minorHAnsi"/>
        </w:rPr>
        <w:t xml:space="preserve">are </w:t>
      </w:r>
      <w:r w:rsidR="009E5C67" w:rsidRPr="00B878D6">
        <w:rPr>
          <w:rFonts w:cstheme="minorHAnsi"/>
        </w:rPr>
        <w:t>understood</w:t>
      </w:r>
      <w:r w:rsidR="0090652F" w:rsidRPr="00B878D6">
        <w:rPr>
          <w:rFonts w:cstheme="minorHAnsi"/>
        </w:rPr>
        <w:t xml:space="preserve"> to be:</w:t>
      </w:r>
    </w:p>
    <w:p w14:paraId="22111BBD" w14:textId="77777777" w:rsidR="00E83595" w:rsidRPr="00E83595" w:rsidRDefault="00E83595" w:rsidP="00B878D6">
      <w:pPr>
        <w:numPr>
          <w:ilvl w:val="1"/>
          <w:numId w:val="1"/>
        </w:numPr>
        <w:autoSpaceDE w:val="0"/>
        <w:autoSpaceDN w:val="0"/>
        <w:adjustRightInd w:val="0"/>
        <w:spacing w:after="0" w:line="240" w:lineRule="auto"/>
        <w:rPr>
          <w:rFonts w:cstheme="minorHAnsi"/>
          <w:color w:val="000000"/>
        </w:rPr>
      </w:pPr>
      <w:r w:rsidRPr="00E83595">
        <w:rPr>
          <w:rFonts w:cstheme="minorHAnsi"/>
          <w:color w:val="000000"/>
        </w:rPr>
        <w:lastRenderedPageBreak/>
        <w:t xml:space="preserve">The single storey building created too great a footprint within the Green Belt </w:t>
      </w:r>
    </w:p>
    <w:p w14:paraId="08A7DD1F" w14:textId="236FBEF1" w:rsidR="00B83783" w:rsidRPr="00B878D6" w:rsidRDefault="009E5C67" w:rsidP="00B878D6">
      <w:pPr>
        <w:pStyle w:val="Default"/>
        <w:numPr>
          <w:ilvl w:val="1"/>
          <w:numId w:val="1"/>
        </w:numPr>
        <w:ind w:left="1434" w:hanging="357"/>
        <w:rPr>
          <w:rFonts w:asciiTheme="minorHAnsi" w:hAnsiTheme="minorHAnsi" w:cstheme="minorHAnsi"/>
          <w:sz w:val="22"/>
          <w:szCs w:val="22"/>
        </w:rPr>
      </w:pPr>
      <w:r w:rsidRPr="00B878D6">
        <w:rPr>
          <w:rFonts w:asciiTheme="minorHAnsi" w:hAnsiTheme="minorHAnsi" w:cstheme="minorHAnsi"/>
          <w:sz w:val="22"/>
          <w:szCs w:val="22"/>
        </w:rPr>
        <w:t>The proposal led to the erosion of the gap between the villages of Sunninghill and Sunningdale</w:t>
      </w:r>
      <w:r w:rsidR="003B5DF7">
        <w:rPr>
          <w:rFonts w:asciiTheme="minorHAnsi" w:hAnsiTheme="minorHAnsi" w:cstheme="minorHAnsi"/>
          <w:sz w:val="22"/>
          <w:szCs w:val="22"/>
        </w:rPr>
        <w:t>.</w:t>
      </w:r>
    </w:p>
    <w:p w14:paraId="5A76464E" w14:textId="5446FA5D" w:rsidR="009E5C67" w:rsidRPr="00B878D6" w:rsidRDefault="009E5C67" w:rsidP="00B878D6">
      <w:pPr>
        <w:pStyle w:val="Default"/>
        <w:numPr>
          <w:ilvl w:val="1"/>
          <w:numId w:val="1"/>
        </w:numPr>
        <w:rPr>
          <w:rFonts w:asciiTheme="minorHAnsi" w:hAnsiTheme="minorHAnsi" w:cstheme="minorHAnsi"/>
          <w:sz w:val="22"/>
          <w:szCs w:val="22"/>
        </w:rPr>
      </w:pPr>
      <w:r w:rsidRPr="00B878D6">
        <w:rPr>
          <w:rFonts w:asciiTheme="minorHAnsi" w:hAnsiTheme="minorHAnsi" w:cstheme="minorHAnsi"/>
          <w:sz w:val="22"/>
          <w:szCs w:val="22"/>
        </w:rPr>
        <w:t>Insufficient detail was provided to justify the size of the building</w:t>
      </w:r>
      <w:r w:rsidR="003B5DF7">
        <w:rPr>
          <w:rFonts w:asciiTheme="minorHAnsi" w:hAnsiTheme="minorHAnsi" w:cstheme="minorHAnsi"/>
          <w:sz w:val="22"/>
          <w:szCs w:val="22"/>
        </w:rPr>
        <w:t>.</w:t>
      </w:r>
      <w:r w:rsidRPr="00B878D6">
        <w:rPr>
          <w:rFonts w:asciiTheme="minorHAnsi" w:hAnsiTheme="minorHAnsi" w:cstheme="minorHAnsi"/>
          <w:sz w:val="22"/>
          <w:szCs w:val="22"/>
        </w:rPr>
        <w:t xml:space="preserve"> </w:t>
      </w:r>
    </w:p>
    <w:p w14:paraId="0673F93B" w14:textId="04C02949" w:rsidR="009E5C67" w:rsidRPr="00B878D6" w:rsidRDefault="009E5C67" w:rsidP="00B878D6">
      <w:pPr>
        <w:pStyle w:val="Default"/>
        <w:numPr>
          <w:ilvl w:val="1"/>
          <w:numId w:val="1"/>
        </w:numPr>
        <w:rPr>
          <w:rFonts w:asciiTheme="minorHAnsi" w:hAnsiTheme="minorHAnsi" w:cstheme="minorHAnsi"/>
          <w:sz w:val="22"/>
          <w:szCs w:val="22"/>
        </w:rPr>
      </w:pPr>
      <w:r w:rsidRPr="00B878D6">
        <w:rPr>
          <w:rFonts w:asciiTheme="minorHAnsi" w:hAnsiTheme="minorHAnsi" w:cstheme="minorHAnsi"/>
          <w:sz w:val="22"/>
          <w:szCs w:val="22"/>
        </w:rPr>
        <w:t>Insufficient justification was provided for the need for a pharmacy at the site</w:t>
      </w:r>
      <w:r w:rsidR="003B5DF7">
        <w:rPr>
          <w:rFonts w:asciiTheme="minorHAnsi" w:hAnsiTheme="minorHAnsi" w:cstheme="minorHAnsi"/>
          <w:sz w:val="22"/>
          <w:szCs w:val="22"/>
        </w:rPr>
        <w:t>.</w:t>
      </w:r>
      <w:r w:rsidRPr="00B878D6">
        <w:rPr>
          <w:rFonts w:asciiTheme="minorHAnsi" w:hAnsiTheme="minorHAnsi" w:cstheme="minorHAnsi"/>
          <w:sz w:val="22"/>
          <w:szCs w:val="22"/>
        </w:rPr>
        <w:t xml:space="preserve"> </w:t>
      </w:r>
    </w:p>
    <w:p w14:paraId="2A2CF1AD" w14:textId="374182FF" w:rsidR="009E5C67" w:rsidRPr="00B878D6" w:rsidRDefault="009E5C67" w:rsidP="00B878D6">
      <w:pPr>
        <w:pStyle w:val="Default"/>
        <w:numPr>
          <w:ilvl w:val="1"/>
          <w:numId w:val="1"/>
        </w:numPr>
        <w:rPr>
          <w:rFonts w:asciiTheme="minorHAnsi" w:hAnsiTheme="minorHAnsi" w:cstheme="minorHAnsi"/>
          <w:sz w:val="22"/>
          <w:szCs w:val="22"/>
        </w:rPr>
      </w:pPr>
      <w:r w:rsidRPr="00B878D6">
        <w:rPr>
          <w:rFonts w:asciiTheme="minorHAnsi" w:hAnsiTheme="minorHAnsi" w:cstheme="minorHAnsi"/>
          <w:sz w:val="22"/>
          <w:szCs w:val="22"/>
        </w:rPr>
        <w:t>A very special circumstances case was not submitted and therefore no justifications were provided to allow a new development in the Green Belt</w:t>
      </w:r>
      <w:r w:rsidR="003B5DF7">
        <w:rPr>
          <w:rFonts w:asciiTheme="minorHAnsi" w:hAnsiTheme="minorHAnsi" w:cstheme="minorHAnsi"/>
          <w:sz w:val="22"/>
          <w:szCs w:val="22"/>
        </w:rPr>
        <w:t>.</w:t>
      </w:r>
    </w:p>
    <w:p w14:paraId="194037E4" w14:textId="50F388A3" w:rsidR="009E5C67" w:rsidRPr="00B878D6" w:rsidRDefault="009E5C67" w:rsidP="00B878D6">
      <w:pPr>
        <w:pStyle w:val="Default"/>
        <w:numPr>
          <w:ilvl w:val="1"/>
          <w:numId w:val="1"/>
        </w:numPr>
        <w:rPr>
          <w:rFonts w:asciiTheme="minorHAnsi" w:hAnsiTheme="minorHAnsi" w:cstheme="minorHAnsi"/>
          <w:sz w:val="22"/>
          <w:szCs w:val="22"/>
        </w:rPr>
      </w:pPr>
      <w:r w:rsidRPr="00B878D6">
        <w:rPr>
          <w:rFonts w:asciiTheme="minorHAnsi" w:hAnsiTheme="minorHAnsi" w:cstheme="minorHAnsi"/>
          <w:sz w:val="22"/>
          <w:szCs w:val="22"/>
        </w:rPr>
        <w:t xml:space="preserve">Insufficient evidence was provided regarding the type of services that were to be provided in the health centre. </w:t>
      </w:r>
    </w:p>
    <w:p w14:paraId="27915399" w14:textId="74EA75B8" w:rsidR="0090652F" w:rsidRDefault="0090652F" w:rsidP="00D53BB9">
      <w:pPr>
        <w:pStyle w:val="ListParagraph"/>
        <w:spacing w:after="0" w:line="240" w:lineRule="auto"/>
        <w:ind w:left="1440"/>
        <w:rPr>
          <w:rFonts w:cstheme="minorHAnsi"/>
        </w:rPr>
      </w:pPr>
    </w:p>
    <w:p w14:paraId="61B2F77F" w14:textId="00A8AAA5" w:rsidR="00D53BB9" w:rsidRDefault="00D53BB9" w:rsidP="00D53BB9">
      <w:pPr>
        <w:pStyle w:val="ListParagraph"/>
        <w:numPr>
          <w:ilvl w:val="0"/>
          <w:numId w:val="4"/>
        </w:numPr>
        <w:spacing w:after="0" w:line="240" w:lineRule="auto"/>
        <w:rPr>
          <w:rFonts w:cstheme="minorHAnsi"/>
        </w:rPr>
      </w:pPr>
      <w:r>
        <w:rPr>
          <w:rFonts w:cstheme="minorHAnsi"/>
        </w:rPr>
        <w:t>20/00969 is the current application</w:t>
      </w:r>
      <w:r w:rsidR="009046A7">
        <w:rPr>
          <w:rFonts w:cstheme="minorHAnsi"/>
        </w:rPr>
        <w:t>.</w:t>
      </w:r>
    </w:p>
    <w:p w14:paraId="61A73D0D" w14:textId="6925ED43" w:rsidR="009046A7" w:rsidRDefault="009046A7" w:rsidP="009046A7">
      <w:pPr>
        <w:spacing w:after="0" w:line="240" w:lineRule="auto"/>
        <w:rPr>
          <w:rFonts w:cstheme="minorHAnsi"/>
        </w:rPr>
      </w:pPr>
    </w:p>
    <w:p w14:paraId="6F0C02DF" w14:textId="1DCF65A7" w:rsidR="009046A7" w:rsidRDefault="009046A7" w:rsidP="009046A7">
      <w:pPr>
        <w:spacing w:after="0" w:line="240" w:lineRule="auto"/>
        <w:rPr>
          <w:rFonts w:cstheme="minorHAnsi"/>
        </w:rPr>
      </w:pPr>
      <w:r>
        <w:rPr>
          <w:rFonts w:cstheme="minorHAnsi"/>
        </w:rPr>
        <w:t xml:space="preserve">We are pleased to see that this application contains a number of significant improvements </w:t>
      </w:r>
      <w:r w:rsidR="003B5DF7">
        <w:rPr>
          <w:rFonts w:cstheme="minorHAnsi"/>
        </w:rPr>
        <w:t>over</w:t>
      </w:r>
      <w:r>
        <w:rPr>
          <w:rFonts w:cstheme="minorHAnsi"/>
        </w:rPr>
        <w:t xml:space="preserve"> the previous plan</w:t>
      </w:r>
      <w:r w:rsidR="000F361E">
        <w:rPr>
          <w:rFonts w:cstheme="minorHAnsi"/>
        </w:rPr>
        <w:t>s</w:t>
      </w:r>
      <w:r w:rsidR="006272EC">
        <w:rPr>
          <w:rFonts w:cstheme="minorHAnsi"/>
        </w:rPr>
        <w:t>. In particular we support</w:t>
      </w:r>
      <w:r w:rsidR="00C618FD">
        <w:rPr>
          <w:rFonts w:cstheme="minorHAnsi"/>
        </w:rPr>
        <w:t xml:space="preserve"> the following aspects</w:t>
      </w:r>
      <w:r w:rsidR="009F5557">
        <w:rPr>
          <w:rFonts w:cstheme="minorHAnsi"/>
        </w:rPr>
        <w:t xml:space="preserve"> of the plan</w:t>
      </w:r>
      <w:r w:rsidR="006272EC">
        <w:rPr>
          <w:rFonts w:cstheme="minorHAnsi"/>
        </w:rPr>
        <w:t>:</w:t>
      </w:r>
    </w:p>
    <w:p w14:paraId="7FBCFF72" w14:textId="10A0A344" w:rsidR="006272EC" w:rsidRDefault="006272EC" w:rsidP="009046A7">
      <w:pPr>
        <w:spacing w:after="0" w:line="240" w:lineRule="auto"/>
        <w:rPr>
          <w:rFonts w:cstheme="minorHAnsi"/>
        </w:rPr>
      </w:pPr>
    </w:p>
    <w:p w14:paraId="1265854C" w14:textId="3109B83C" w:rsidR="008B7DF2" w:rsidRPr="008B7DF2" w:rsidRDefault="008B7DF2" w:rsidP="0088189F">
      <w:pPr>
        <w:numPr>
          <w:ilvl w:val="0"/>
          <w:numId w:val="5"/>
        </w:numPr>
        <w:autoSpaceDE w:val="0"/>
        <w:autoSpaceDN w:val="0"/>
        <w:adjustRightInd w:val="0"/>
        <w:spacing w:after="0" w:line="240" w:lineRule="auto"/>
        <w:rPr>
          <w:rFonts w:ascii="Calibri" w:hAnsi="Calibri" w:cs="Calibri"/>
          <w:b/>
          <w:bCs/>
          <w:color w:val="000000"/>
        </w:rPr>
      </w:pPr>
      <w:r w:rsidRPr="008B7DF2">
        <w:rPr>
          <w:rFonts w:ascii="Calibri" w:hAnsi="Calibri" w:cs="Calibri"/>
          <w:b/>
          <w:bCs/>
          <w:color w:val="000000"/>
        </w:rPr>
        <w:t>Repositioning of the building to lie along the northern boundary</w:t>
      </w:r>
    </w:p>
    <w:p w14:paraId="29772B06" w14:textId="7387C811" w:rsidR="0088189F" w:rsidRDefault="0088189F" w:rsidP="008B7DF2">
      <w:pPr>
        <w:autoSpaceDE w:val="0"/>
        <w:autoSpaceDN w:val="0"/>
        <w:adjustRightInd w:val="0"/>
        <w:spacing w:after="0" w:line="240" w:lineRule="auto"/>
        <w:ind w:left="720"/>
        <w:rPr>
          <w:rFonts w:ascii="Calibri" w:hAnsi="Calibri" w:cs="Calibri"/>
          <w:color w:val="000000"/>
        </w:rPr>
      </w:pPr>
      <w:r w:rsidRPr="0088189F">
        <w:rPr>
          <w:rFonts w:ascii="Calibri" w:hAnsi="Calibri" w:cs="Calibri"/>
          <w:color w:val="000000"/>
        </w:rPr>
        <w:t>The building has been positioned along the northern boundary of the site</w:t>
      </w:r>
      <w:r w:rsidR="008232DC">
        <w:rPr>
          <w:rFonts w:ascii="Calibri" w:hAnsi="Calibri" w:cs="Calibri"/>
          <w:color w:val="000000"/>
        </w:rPr>
        <w:t>,</w:t>
      </w:r>
      <w:r w:rsidRPr="0088189F">
        <w:rPr>
          <w:rFonts w:ascii="Calibri" w:hAnsi="Calibri" w:cs="Calibri"/>
          <w:color w:val="000000"/>
        </w:rPr>
        <w:t xml:space="preserve"> </w:t>
      </w:r>
      <w:r>
        <w:rPr>
          <w:rFonts w:ascii="Calibri" w:hAnsi="Calibri" w:cs="Calibri"/>
          <w:color w:val="000000"/>
        </w:rPr>
        <w:t xml:space="preserve">allowing more of the existing site to be </w:t>
      </w:r>
      <w:r w:rsidR="008232DC">
        <w:rPr>
          <w:rFonts w:ascii="Calibri" w:hAnsi="Calibri" w:cs="Calibri"/>
          <w:color w:val="000000"/>
        </w:rPr>
        <w:t>retained</w:t>
      </w:r>
      <w:r w:rsidR="00626FBC">
        <w:rPr>
          <w:rFonts w:ascii="Calibri" w:hAnsi="Calibri" w:cs="Calibri"/>
          <w:color w:val="000000"/>
        </w:rPr>
        <w:t xml:space="preserve"> as a</w:t>
      </w:r>
      <w:r w:rsidR="002B3680">
        <w:rPr>
          <w:rFonts w:ascii="Calibri" w:hAnsi="Calibri" w:cs="Calibri"/>
          <w:color w:val="000000"/>
        </w:rPr>
        <w:t>n</w:t>
      </w:r>
      <w:r w:rsidR="00626FBC">
        <w:rPr>
          <w:rFonts w:ascii="Calibri" w:hAnsi="Calibri" w:cs="Calibri"/>
          <w:color w:val="000000"/>
        </w:rPr>
        <w:t xml:space="preserve"> open green space in line with </w:t>
      </w:r>
      <w:r w:rsidR="00E138BE">
        <w:rPr>
          <w:rFonts w:ascii="Calibri" w:hAnsi="Calibri" w:cs="Calibri"/>
          <w:color w:val="000000"/>
        </w:rPr>
        <w:t xml:space="preserve">the objectives of the </w:t>
      </w:r>
      <w:r w:rsidR="00626FBC">
        <w:rPr>
          <w:rFonts w:ascii="Calibri" w:hAnsi="Calibri" w:cs="Calibri"/>
          <w:color w:val="000000"/>
        </w:rPr>
        <w:t xml:space="preserve">Green </w:t>
      </w:r>
      <w:r w:rsidR="000F361E">
        <w:rPr>
          <w:rFonts w:ascii="Calibri" w:hAnsi="Calibri" w:cs="Calibri"/>
          <w:color w:val="000000"/>
        </w:rPr>
        <w:t>B</w:t>
      </w:r>
      <w:r w:rsidR="00626FBC">
        <w:rPr>
          <w:rFonts w:ascii="Calibri" w:hAnsi="Calibri" w:cs="Calibri"/>
          <w:color w:val="000000"/>
        </w:rPr>
        <w:t>elt</w:t>
      </w:r>
      <w:r w:rsidR="002B3680">
        <w:rPr>
          <w:rFonts w:ascii="Calibri" w:hAnsi="Calibri" w:cs="Calibri"/>
          <w:color w:val="000000"/>
        </w:rPr>
        <w:t xml:space="preserve">. Although </w:t>
      </w:r>
      <w:r w:rsidR="00220112">
        <w:rPr>
          <w:rFonts w:ascii="Calibri" w:hAnsi="Calibri" w:cs="Calibri"/>
          <w:color w:val="000000"/>
        </w:rPr>
        <w:t xml:space="preserve">the </w:t>
      </w:r>
      <w:r w:rsidR="00536FAD">
        <w:rPr>
          <w:rFonts w:ascii="Calibri" w:hAnsi="Calibri" w:cs="Calibri"/>
          <w:color w:val="000000"/>
        </w:rPr>
        <w:t xml:space="preserve">Green Space within this site would be </w:t>
      </w:r>
      <w:r w:rsidR="002B3680">
        <w:rPr>
          <w:rFonts w:ascii="Calibri" w:hAnsi="Calibri" w:cs="Calibri"/>
          <w:color w:val="000000"/>
        </w:rPr>
        <w:t xml:space="preserve">significantly smaller </w:t>
      </w:r>
      <w:r w:rsidR="00536FAD">
        <w:rPr>
          <w:rFonts w:ascii="Calibri" w:hAnsi="Calibri" w:cs="Calibri"/>
          <w:color w:val="000000"/>
        </w:rPr>
        <w:t xml:space="preserve">as a result of this development, </w:t>
      </w:r>
      <w:r w:rsidR="002B3680">
        <w:rPr>
          <w:rFonts w:ascii="Calibri" w:hAnsi="Calibri" w:cs="Calibri"/>
          <w:color w:val="000000"/>
        </w:rPr>
        <w:t>the undeveloped section of this site would</w:t>
      </w:r>
      <w:r w:rsidR="000E44A3">
        <w:rPr>
          <w:rFonts w:ascii="Calibri" w:hAnsi="Calibri" w:cs="Calibri"/>
          <w:color w:val="000000"/>
        </w:rPr>
        <w:t xml:space="preserve"> be sufficient in size to continue to act as a ‘</w:t>
      </w:r>
      <w:r w:rsidR="000E44A3" w:rsidRPr="003B5DF7">
        <w:rPr>
          <w:rFonts w:ascii="Calibri" w:hAnsi="Calibri" w:cs="Calibri"/>
          <w:i/>
          <w:iCs/>
          <w:color w:val="000000"/>
        </w:rPr>
        <w:t>Gap between the Villages’</w:t>
      </w:r>
    </w:p>
    <w:p w14:paraId="69512F55" w14:textId="77777777" w:rsidR="00CB1F8D" w:rsidRPr="0088189F" w:rsidRDefault="00CB1F8D" w:rsidP="008B7DF2">
      <w:pPr>
        <w:autoSpaceDE w:val="0"/>
        <w:autoSpaceDN w:val="0"/>
        <w:adjustRightInd w:val="0"/>
        <w:spacing w:after="0" w:line="240" w:lineRule="auto"/>
        <w:ind w:left="720"/>
        <w:rPr>
          <w:rFonts w:ascii="Calibri" w:hAnsi="Calibri" w:cs="Calibri"/>
          <w:color w:val="000000"/>
        </w:rPr>
      </w:pPr>
    </w:p>
    <w:p w14:paraId="7DA41C13" w14:textId="5D0591E5" w:rsidR="006272EC" w:rsidRPr="006420BC" w:rsidRDefault="00CB1F8D" w:rsidP="006272EC">
      <w:pPr>
        <w:pStyle w:val="ListParagraph"/>
        <w:numPr>
          <w:ilvl w:val="0"/>
          <w:numId w:val="5"/>
        </w:numPr>
        <w:spacing w:after="0" w:line="240" w:lineRule="auto"/>
        <w:rPr>
          <w:rFonts w:cstheme="minorHAnsi"/>
          <w:b/>
          <w:bCs/>
        </w:rPr>
      </w:pPr>
      <w:r w:rsidRPr="006420BC">
        <w:rPr>
          <w:rFonts w:cstheme="minorHAnsi"/>
          <w:b/>
          <w:bCs/>
        </w:rPr>
        <w:t>Reduction of the Size of the building footprint</w:t>
      </w:r>
    </w:p>
    <w:p w14:paraId="37FC57E0" w14:textId="759BD927" w:rsidR="00C113D6" w:rsidRDefault="00F95808" w:rsidP="0076643E">
      <w:pPr>
        <w:pStyle w:val="ListParagraph"/>
        <w:spacing w:after="0" w:line="240" w:lineRule="auto"/>
        <w:rPr>
          <w:rFonts w:cstheme="minorHAnsi"/>
        </w:rPr>
      </w:pPr>
      <w:r>
        <w:rPr>
          <w:rFonts w:cstheme="minorHAnsi"/>
        </w:rPr>
        <w:t>The reduction of the</w:t>
      </w:r>
      <w:r w:rsidR="0076643E">
        <w:rPr>
          <w:rFonts w:cstheme="minorHAnsi"/>
        </w:rPr>
        <w:t xml:space="preserve"> building </w:t>
      </w:r>
      <w:r w:rsidR="0003590D">
        <w:rPr>
          <w:rFonts w:cstheme="minorHAnsi"/>
        </w:rPr>
        <w:t xml:space="preserve">footprint </w:t>
      </w:r>
      <w:r w:rsidR="0076643E">
        <w:rPr>
          <w:rFonts w:cstheme="minorHAnsi"/>
        </w:rPr>
        <w:t>and the reduction in car parking</w:t>
      </w:r>
      <w:r w:rsidR="0003590D">
        <w:rPr>
          <w:rFonts w:cstheme="minorHAnsi"/>
        </w:rPr>
        <w:t xml:space="preserve"> area</w:t>
      </w:r>
      <w:r>
        <w:rPr>
          <w:rFonts w:cstheme="minorHAnsi"/>
        </w:rPr>
        <w:t xml:space="preserve"> is welcome, especially t</w:t>
      </w:r>
      <w:r w:rsidR="0003590D">
        <w:rPr>
          <w:rFonts w:cstheme="minorHAnsi"/>
        </w:rPr>
        <w:t xml:space="preserve">he reduction of car </w:t>
      </w:r>
      <w:r w:rsidR="00433B1A">
        <w:rPr>
          <w:rFonts w:cstheme="minorHAnsi"/>
        </w:rPr>
        <w:t>parking</w:t>
      </w:r>
      <w:r w:rsidR="0003590D">
        <w:rPr>
          <w:rFonts w:cstheme="minorHAnsi"/>
        </w:rPr>
        <w:t xml:space="preserve"> </w:t>
      </w:r>
      <w:r w:rsidR="00433B1A">
        <w:rPr>
          <w:rFonts w:cstheme="minorHAnsi"/>
        </w:rPr>
        <w:t>spaces</w:t>
      </w:r>
      <w:r w:rsidR="00AB4F7A">
        <w:rPr>
          <w:rFonts w:cstheme="minorHAnsi"/>
        </w:rPr>
        <w:t xml:space="preserve"> from 126</w:t>
      </w:r>
      <w:r w:rsidR="00433B1A">
        <w:rPr>
          <w:rFonts w:cstheme="minorHAnsi"/>
        </w:rPr>
        <w:t xml:space="preserve"> to 96</w:t>
      </w:r>
      <w:r w:rsidR="000C001E">
        <w:rPr>
          <w:rFonts w:cstheme="minorHAnsi"/>
        </w:rPr>
        <w:t>.</w:t>
      </w:r>
      <w:r w:rsidR="00206018">
        <w:rPr>
          <w:rFonts w:cstheme="minorHAnsi"/>
        </w:rPr>
        <w:t xml:space="preserve">  </w:t>
      </w:r>
      <w:r w:rsidR="00EE0EE5">
        <w:rPr>
          <w:rFonts w:cstheme="minorHAnsi"/>
        </w:rPr>
        <w:t>However,</w:t>
      </w:r>
      <w:r w:rsidR="00C63B48">
        <w:rPr>
          <w:rFonts w:cstheme="minorHAnsi"/>
        </w:rPr>
        <w:t xml:space="preserve"> </w:t>
      </w:r>
      <w:r w:rsidR="000C001E">
        <w:rPr>
          <w:rFonts w:cstheme="minorHAnsi"/>
        </w:rPr>
        <w:t xml:space="preserve">it is noted that </w:t>
      </w:r>
      <w:r w:rsidR="00C63B48">
        <w:rPr>
          <w:rFonts w:cstheme="minorHAnsi"/>
        </w:rPr>
        <w:t>the gross internal floor space is virtually unchanged and remains at 1867 sq. m</w:t>
      </w:r>
      <w:r w:rsidR="00A5793A">
        <w:rPr>
          <w:rFonts w:cstheme="minorHAnsi"/>
        </w:rPr>
        <w:t xml:space="preserve"> (</w:t>
      </w:r>
      <w:r w:rsidR="00027D7B">
        <w:rPr>
          <w:rFonts w:cstheme="minorHAnsi"/>
        </w:rPr>
        <w:t xml:space="preserve">over </w:t>
      </w:r>
      <w:r w:rsidR="00A5793A">
        <w:rPr>
          <w:rFonts w:cstheme="minorHAnsi"/>
        </w:rPr>
        <w:t xml:space="preserve">20,000 </w:t>
      </w:r>
      <w:r w:rsidR="005C3E12">
        <w:rPr>
          <w:rFonts w:cstheme="minorHAnsi"/>
        </w:rPr>
        <w:t>sq.</w:t>
      </w:r>
      <w:r w:rsidR="00A5793A">
        <w:rPr>
          <w:rFonts w:cstheme="minorHAnsi"/>
        </w:rPr>
        <w:t xml:space="preserve"> ft).</w:t>
      </w:r>
      <w:r w:rsidR="00E7565A">
        <w:rPr>
          <w:rFonts w:cstheme="minorHAnsi"/>
        </w:rPr>
        <w:t xml:space="preserve"> </w:t>
      </w:r>
    </w:p>
    <w:p w14:paraId="07F5EBC1" w14:textId="77777777" w:rsidR="00C113D6" w:rsidRDefault="00C113D6" w:rsidP="0076643E">
      <w:pPr>
        <w:pStyle w:val="ListParagraph"/>
        <w:spacing w:after="0" w:line="240" w:lineRule="auto"/>
        <w:rPr>
          <w:rFonts w:cstheme="minorHAnsi"/>
        </w:rPr>
      </w:pPr>
    </w:p>
    <w:p w14:paraId="4ABA6C6E" w14:textId="13137233" w:rsidR="00445833" w:rsidRPr="00D65501" w:rsidRDefault="00D86F40" w:rsidP="00445833">
      <w:pPr>
        <w:pStyle w:val="ListParagraph"/>
        <w:numPr>
          <w:ilvl w:val="0"/>
          <w:numId w:val="5"/>
        </w:numPr>
        <w:spacing w:after="0" w:line="240" w:lineRule="auto"/>
        <w:rPr>
          <w:rFonts w:cstheme="minorHAnsi"/>
          <w:b/>
          <w:bCs/>
        </w:rPr>
      </w:pPr>
      <w:r w:rsidRPr="00D65501">
        <w:rPr>
          <w:rFonts w:cstheme="minorHAnsi"/>
          <w:b/>
          <w:bCs/>
        </w:rPr>
        <w:t>Landscaping and Addition of Trees</w:t>
      </w:r>
    </w:p>
    <w:p w14:paraId="4F8C4DED" w14:textId="6ACE47BA" w:rsidR="00776C1B" w:rsidRPr="003D3158" w:rsidRDefault="00D86F40" w:rsidP="003D3158">
      <w:pPr>
        <w:spacing w:after="0" w:line="240" w:lineRule="auto"/>
        <w:ind w:left="720"/>
        <w:rPr>
          <w:rFonts w:cstheme="minorHAnsi"/>
        </w:rPr>
      </w:pPr>
      <w:r>
        <w:rPr>
          <w:rFonts w:cstheme="minorHAnsi"/>
        </w:rPr>
        <w:t>Extensive</w:t>
      </w:r>
      <w:r w:rsidR="00D07E7E">
        <w:rPr>
          <w:rFonts w:cstheme="minorHAnsi"/>
        </w:rPr>
        <w:t xml:space="preserve"> new tree planting is proposed to improve habitats of endangered species</w:t>
      </w:r>
      <w:r w:rsidR="006B3642">
        <w:rPr>
          <w:rFonts w:cstheme="minorHAnsi"/>
        </w:rPr>
        <w:t xml:space="preserve">, as well </w:t>
      </w:r>
      <w:r w:rsidR="00027D7B">
        <w:rPr>
          <w:rFonts w:cstheme="minorHAnsi"/>
        </w:rPr>
        <w:t xml:space="preserve">as </w:t>
      </w:r>
      <w:r w:rsidR="006B3642">
        <w:rPr>
          <w:rFonts w:cstheme="minorHAnsi"/>
        </w:rPr>
        <w:t>new tree planting along the site’s boundar</w:t>
      </w:r>
      <w:r w:rsidR="00D65501">
        <w:rPr>
          <w:rFonts w:cstheme="minorHAnsi"/>
        </w:rPr>
        <w:t xml:space="preserve">ies, plus improved </w:t>
      </w:r>
      <w:r w:rsidR="00EE0EE5">
        <w:rPr>
          <w:rFonts w:cstheme="minorHAnsi"/>
        </w:rPr>
        <w:t>hedging</w:t>
      </w:r>
      <w:r w:rsidR="00D65501">
        <w:rPr>
          <w:rFonts w:cstheme="minorHAnsi"/>
        </w:rPr>
        <w:t xml:space="preserve">.  This is to be welcomed, although this application does </w:t>
      </w:r>
      <w:r w:rsidR="0060016C">
        <w:rPr>
          <w:rFonts w:cstheme="minorHAnsi"/>
        </w:rPr>
        <w:t>propose</w:t>
      </w:r>
      <w:r w:rsidR="00D65501">
        <w:rPr>
          <w:rFonts w:cstheme="minorHAnsi"/>
        </w:rPr>
        <w:t xml:space="preserve"> removal of some </w:t>
      </w:r>
      <w:r w:rsidR="00FB1345">
        <w:rPr>
          <w:rFonts w:cstheme="minorHAnsi"/>
        </w:rPr>
        <w:t>C</w:t>
      </w:r>
      <w:r w:rsidR="00D65501">
        <w:rPr>
          <w:rFonts w:cstheme="minorHAnsi"/>
        </w:rPr>
        <w:t>ategory A trees</w:t>
      </w:r>
      <w:r w:rsidR="00FB1345">
        <w:rPr>
          <w:rFonts w:cstheme="minorHAnsi"/>
        </w:rPr>
        <w:t>.</w:t>
      </w:r>
    </w:p>
    <w:p w14:paraId="2A3DFC92" w14:textId="77777777" w:rsidR="00776C1B" w:rsidRDefault="00776C1B" w:rsidP="00735E0E">
      <w:pPr>
        <w:pStyle w:val="ListParagraph"/>
        <w:spacing w:after="0" w:line="240" w:lineRule="auto"/>
        <w:ind w:left="0"/>
        <w:rPr>
          <w:rFonts w:cstheme="minorHAnsi"/>
        </w:rPr>
      </w:pPr>
    </w:p>
    <w:p w14:paraId="74382670" w14:textId="0145E16D" w:rsidR="00735E0E" w:rsidRDefault="00735E0E" w:rsidP="00735E0E">
      <w:pPr>
        <w:pStyle w:val="ListParagraph"/>
        <w:spacing w:after="0" w:line="240" w:lineRule="auto"/>
        <w:ind w:left="0"/>
        <w:rPr>
          <w:rFonts w:cstheme="minorHAnsi"/>
        </w:rPr>
      </w:pPr>
      <w:r>
        <w:rPr>
          <w:rFonts w:cstheme="minorHAnsi"/>
        </w:rPr>
        <w:t>H</w:t>
      </w:r>
      <w:r w:rsidR="00397399">
        <w:rPr>
          <w:rFonts w:cstheme="minorHAnsi"/>
        </w:rPr>
        <w:t xml:space="preserve">owever, this application </w:t>
      </w:r>
      <w:r w:rsidR="0049648A">
        <w:rPr>
          <w:rFonts w:cstheme="minorHAnsi"/>
        </w:rPr>
        <w:t xml:space="preserve">site </w:t>
      </w:r>
      <w:r w:rsidR="002F5BDB">
        <w:rPr>
          <w:rFonts w:cstheme="minorHAnsi"/>
        </w:rPr>
        <w:t xml:space="preserve">sits </w:t>
      </w:r>
      <w:r w:rsidR="0049648A">
        <w:rPr>
          <w:rFonts w:cstheme="minorHAnsi"/>
        </w:rPr>
        <w:t xml:space="preserve">in the </w:t>
      </w:r>
      <w:r w:rsidR="00397399" w:rsidRPr="00776C1B">
        <w:rPr>
          <w:rFonts w:cstheme="minorHAnsi"/>
        </w:rPr>
        <w:t>Green Belt</w:t>
      </w:r>
      <w:r w:rsidR="00120A23">
        <w:rPr>
          <w:rFonts w:cstheme="minorHAnsi"/>
        </w:rPr>
        <w:t>. The applicant accepts that the proposed communit</w:t>
      </w:r>
      <w:r w:rsidR="00CE17FF">
        <w:rPr>
          <w:rFonts w:cstheme="minorHAnsi"/>
        </w:rPr>
        <w:t>y</w:t>
      </w:r>
      <w:r w:rsidR="00120A23">
        <w:rPr>
          <w:rFonts w:cstheme="minorHAnsi"/>
        </w:rPr>
        <w:t xml:space="preserve"> health hub does not form appropriate development in the Green </w:t>
      </w:r>
      <w:r w:rsidR="00B07D8B">
        <w:rPr>
          <w:rFonts w:cstheme="minorHAnsi"/>
        </w:rPr>
        <w:t xml:space="preserve">Belt and does not conform with the Green </w:t>
      </w:r>
      <w:r w:rsidR="00EE0EE5">
        <w:rPr>
          <w:rFonts w:cstheme="minorHAnsi"/>
        </w:rPr>
        <w:t>B</w:t>
      </w:r>
      <w:r w:rsidR="00B07D8B">
        <w:rPr>
          <w:rFonts w:cstheme="minorHAnsi"/>
        </w:rPr>
        <w:t>elt exceptions criteria</w:t>
      </w:r>
      <w:r w:rsidR="00CE17FF">
        <w:rPr>
          <w:rFonts w:cstheme="minorHAnsi"/>
        </w:rPr>
        <w:t xml:space="preserve"> listed within the NPPF. </w:t>
      </w:r>
      <w:r w:rsidR="00603244">
        <w:rPr>
          <w:rFonts w:cstheme="minorHAnsi"/>
        </w:rPr>
        <w:t>As such the applicant is reliant o</w:t>
      </w:r>
      <w:r w:rsidR="00776C1B">
        <w:rPr>
          <w:rFonts w:cstheme="minorHAnsi"/>
        </w:rPr>
        <w:t>n</w:t>
      </w:r>
      <w:r w:rsidR="00603244">
        <w:rPr>
          <w:rFonts w:cstheme="minorHAnsi"/>
        </w:rPr>
        <w:t xml:space="preserve"> proving that this development </w:t>
      </w:r>
      <w:r w:rsidR="002911DF">
        <w:rPr>
          <w:rFonts w:cstheme="minorHAnsi"/>
        </w:rPr>
        <w:t xml:space="preserve">meets the criteria for ‘Very Special </w:t>
      </w:r>
      <w:r w:rsidR="00B87A54">
        <w:rPr>
          <w:rFonts w:cstheme="minorHAnsi"/>
        </w:rPr>
        <w:t>Circumstances</w:t>
      </w:r>
      <w:r w:rsidR="002911DF">
        <w:rPr>
          <w:rFonts w:cstheme="minorHAnsi"/>
        </w:rPr>
        <w:t>’ as a means of gaining planning approval.</w:t>
      </w:r>
    </w:p>
    <w:p w14:paraId="4E24B2B0" w14:textId="70E7EC9E" w:rsidR="003B4A06" w:rsidRDefault="003B4A06" w:rsidP="00735E0E">
      <w:pPr>
        <w:pStyle w:val="ListParagraph"/>
        <w:spacing w:after="0" w:line="240" w:lineRule="auto"/>
        <w:ind w:left="0"/>
        <w:rPr>
          <w:rFonts w:cstheme="minorHAnsi"/>
        </w:rPr>
      </w:pPr>
    </w:p>
    <w:p w14:paraId="0C6D4BB5" w14:textId="2FB829F5" w:rsidR="003B4A06" w:rsidRDefault="00B765CE" w:rsidP="00735E0E">
      <w:pPr>
        <w:pStyle w:val="ListParagraph"/>
        <w:spacing w:after="0" w:line="240" w:lineRule="auto"/>
        <w:ind w:left="0"/>
        <w:rPr>
          <w:rFonts w:cstheme="minorHAnsi"/>
        </w:rPr>
      </w:pPr>
      <w:r>
        <w:rPr>
          <w:rFonts w:cstheme="minorHAnsi"/>
        </w:rPr>
        <w:t xml:space="preserve">Whilst we support the proposal to build a new community hub and </w:t>
      </w:r>
      <w:r w:rsidR="007B77FA">
        <w:rPr>
          <w:rFonts w:cstheme="minorHAnsi"/>
        </w:rPr>
        <w:t xml:space="preserve">these plans are an improvement on the previous </w:t>
      </w:r>
      <w:r w:rsidR="00E71113">
        <w:rPr>
          <w:rFonts w:cstheme="minorHAnsi"/>
        </w:rPr>
        <w:t xml:space="preserve">application, </w:t>
      </w:r>
      <w:r w:rsidR="007B77FA">
        <w:rPr>
          <w:rFonts w:cstheme="minorHAnsi"/>
        </w:rPr>
        <w:t xml:space="preserve">we still have </w:t>
      </w:r>
      <w:r>
        <w:rPr>
          <w:rFonts w:cstheme="minorHAnsi"/>
        </w:rPr>
        <w:t xml:space="preserve">a number of </w:t>
      </w:r>
      <w:r w:rsidR="007B77FA">
        <w:rPr>
          <w:rFonts w:cstheme="minorHAnsi"/>
        </w:rPr>
        <w:t>concerns</w:t>
      </w:r>
      <w:r w:rsidR="00817F41">
        <w:rPr>
          <w:rFonts w:cstheme="minorHAnsi"/>
        </w:rPr>
        <w:t>.</w:t>
      </w:r>
      <w:r w:rsidR="003B5DF7">
        <w:rPr>
          <w:rFonts w:cstheme="minorHAnsi"/>
        </w:rPr>
        <w:t xml:space="preserve"> These are summarised as follows: </w:t>
      </w:r>
    </w:p>
    <w:p w14:paraId="2634EEBD" w14:textId="2D3CDA3E" w:rsidR="00CD66B4" w:rsidRDefault="00CD66B4" w:rsidP="00735E0E">
      <w:pPr>
        <w:pStyle w:val="ListParagraph"/>
        <w:spacing w:after="0" w:line="240" w:lineRule="auto"/>
        <w:ind w:left="0"/>
        <w:rPr>
          <w:rFonts w:cstheme="minorHAnsi"/>
        </w:rPr>
      </w:pPr>
    </w:p>
    <w:p w14:paraId="128D3C5E" w14:textId="77777777" w:rsidR="0059082D" w:rsidRDefault="0059082D" w:rsidP="00735E0E">
      <w:pPr>
        <w:pStyle w:val="ListParagraph"/>
        <w:spacing w:after="0" w:line="240" w:lineRule="auto"/>
        <w:ind w:left="0"/>
        <w:rPr>
          <w:rFonts w:cstheme="minorHAnsi"/>
        </w:rPr>
      </w:pPr>
    </w:p>
    <w:p w14:paraId="59E59B4F" w14:textId="351AC60E" w:rsidR="00BD2971" w:rsidRPr="006D5E29" w:rsidRDefault="0052116E" w:rsidP="00BD2971">
      <w:pPr>
        <w:pStyle w:val="ListParagraph"/>
        <w:numPr>
          <w:ilvl w:val="0"/>
          <w:numId w:val="9"/>
        </w:numPr>
        <w:spacing w:after="0" w:line="240" w:lineRule="auto"/>
        <w:rPr>
          <w:rFonts w:cstheme="minorHAnsi"/>
          <w:b/>
          <w:bCs/>
          <w:sz w:val="28"/>
          <w:szCs w:val="28"/>
        </w:rPr>
      </w:pPr>
      <w:r w:rsidRPr="006D5E29">
        <w:rPr>
          <w:rFonts w:cstheme="minorHAnsi"/>
          <w:b/>
          <w:bCs/>
          <w:sz w:val="28"/>
          <w:szCs w:val="28"/>
        </w:rPr>
        <w:t xml:space="preserve">Size </w:t>
      </w:r>
      <w:r w:rsidR="001133EA" w:rsidRPr="006D5E29">
        <w:rPr>
          <w:rFonts w:cstheme="minorHAnsi"/>
          <w:b/>
          <w:bCs/>
          <w:sz w:val="28"/>
          <w:szCs w:val="28"/>
        </w:rPr>
        <w:t>o</w:t>
      </w:r>
      <w:r w:rsidRPr="006D5E29">
        <w:rPr>
          <w:rFonts w:cstheme="minorHAnsi"/>
          <w:b/>
          <w:bCs/>
          <w:sz w:val="28"/>
          <w:szCs w:val="28"/>
        </w:rPr>
        <w:t xml:space="preserve">f </w:t>
      </w:r>
      <w:r w:rsidR="001133EA" w:rsidRPr="006D5E29">
        <w:rPr>
          <w:rFonts w:cstheme="minorHAnsi"/>
          <w:b/>
          <w:bCs/>
          <w:sz w:val="28"/>
          <w:szCs w:val="28"/>
        </w:rPr>
        <w:t>t</w:t>
      </w:r>
      <w:r w:rsidRPr="006D5E29">
        <w:rPr>
          <w:rFonts w:cstheme="minorHAnsi"/>
          <w:b/>
          <w:bCs/>
          <w:sz w:val="28"/>
          <w:szCs w:val="28"/>
        </w:rPr>
        <w:t xml:space="preserve">he </w:t>
      </w:r>
      <w:r w:rsidR="001133EA" w:rsidRPr="006D5E29">
        <w:rPr>
          <w:rFonts w:cstheme="minorHAnsi"/>
          <w:b/>
          <w:bCs/>
          <w:sz w:val="28"/>
          <w:szCs w:val="28"/>
        </w:rPr>
        <w:t>c</w:t>
      </w:r>
      <w:r w:rsidRPr="006D5E29">
        <w:rPr>
          <w:rFonts w:cstheme="minorHAnsi"/>
          <w:b/>
          <w:bCs/>
          <w:sz w:val="28"/>
          <w:szCs w:val="28"/>
        </w:rPr>
        <w:t xml:space="preserve">ommunity </w:t>
      </w:r>
      <w:r w:rsidR="001133EA" w:rsidRPr="006D5E29">
        <w:rPr>
          <w:rFonts w:cstheme="minorHAnsi"/>
          <w:b/>
          <w:bCs/>
          <w:sz w:val="28"/>
          <w:szCs w:val="28"/>
        </w:rPr>
        <w:t>h</w:t>
      </w:r>
      <w:r w:rsidRPr="006D5E29">
        <w:rPr>
          <w:rFonts w:cstheme="minorHAnsi"/>
          <w:b/>
          <w:bCs/>
          <w:sz w:val="28"/>
          <w:szCs w:val="28"/>
        </w:rPr>
        <w:t xml:space="preserve">ealth </w:t>
      </w:r>
      <w:r w:rsidR="001133EA" w:rsidRPr="006D5E29">
        <w:rPr>
          <w:rFonts w:cstheme="minorHAnsi"/>
          <w:b/>
          <w:bCs/>
          <w:sz w:val="28"/>
          <w:szCs w:val="28"/>
        </w:rPr>
        <w:t>h</w:t>
      </w:r>
      <w:r w:rsidRPr="006D5E29">
        <w:rPr>
          <w:rFonts w:cstheme="minorHAnsi"/>
          <w:b/>
          <w:bCs/>
          <w:sz w:val="28"/>
          <w:szCs w:val="28"/>
        </w:rPr>
        <w:t>ub</w:t>
      </w:r>
      <w:r w:rsidR="00BD2971" w:rsidRPr="006D5E29">
        <w:rPr>
          <w:rFonts w:cstheme="minorHAnsi"/>
          <w:b/>
          <w:bCs/>
          <w:sz w:val="28"/>
          <w:szCs w:val="28"/>
        </w:rPr>
        <w:br/>
      </w:r>
    </w:p>
    <w:p w14:paraId="41A871D9" w14:textId="2B61D14B" w:rsidR="00BD2971" w:rsidRPr="003677A2" w:rsidRDefault="003677A2" w:rsidP="00BD2971">
      <w:pPr>
        <w:pStyle w:val="ListParagraph"/>
        <w:spacing w:after="0" w:line="240" w:lineRule="auto"/>
        <w:ind w:left="0"/>
        <w:rPr>
          <w:rFonts w:cstheme="minorHAnsi"/>
        </w:rPr>
      </w:pPr>
      <w:r>
        <w:rPr>
          <w:rFonts w:cstheme="minorHAnsi"/>
        </w:rPr>
        <w:t>One of the biggest issues with this development is the size and footprint of the building which was also noted with the previous application</w:t>
      </w:r>
      <w:r>
        <w:t xml:space="preserve">. </w:t>
      </w:r>
      <w:r w:rsidR="00BD2971">
        <w:t xml:space="preserve">The gross internal floor area </w:t>
      </w:r>
      <w:r w:rsidR="00EA0C03">
        <w:t xml:space="preserve">of the </w:t>
      </w:r>
      <w:r w:rsidR="008273FB">
        <w:t>c</w:t>
      </w:r>
      <w:r w:rsidR="00EA0C03">
        <w:t xml:space="preserve">ommunity </w:t>
      </w:r>
      <w:r w:rsidR="008273FB">
        <w:t>h</w:t>
      </w:r>
      <w:r w:rsidR="00EA0C03">
        <w:t xml:space="preserve">ealth </w:t>
      </w:r>
      <w:r w:rsidR="008273FB">
        <w:t>h</w:t>
      </w:r>
      <w:r w:rsidR="00EA0C03">
        <w:t xml:space="preserve">ub </w:t>
      </w:r>
      <w:r w:rsidR="00BD2971">
        <w:t xml:space="preserve">is </w:t>
      </w:r>
      <w:r w:rsidR="00EA0C03">
        <w:t xml:space="preserve">1,867 sq. metres. </w:t>
      </w:r>
      <w:r w:rsidR="00BD2971" w:rsidRPr="0031690A">
        <w:rPr>
          <w:rFonts w:cstheme="minorHAnsi"/>
        </w:rPr>
        <w:t>Just to put this into context</w:t>
      </w:r>
      <w:r w:rsidR="00BD2971">
        <w:rPr>
          <w:rFonts w:cstheme="minorHAnsi"/>
        </w:rPr>
        <w:t xml:space="preserve"> the retail area </w:t>
      </w:r>
      <w:r w:rsidR="00EA0C03">
        <w:rPr>
          <w:rFonts w:cstheme="minorHAnsi"/>
        </w:rPr>
        <w:t>of</w:t>
      </w:r>
      <w:r w:rsidR="00BD2971">
        <w:rPr>
          <w:rFonts w:cstheme="minorHAnsi"/>
        </w:rPr>
        <w:t xml:space="preserve"> the </w:t>
      </w:r>
      <w:r w:rsidR="00BD2971" w:rsidRPr="0031690A">
        <w:rPr>
          <w:rFonts w:cstheme="minorHAnsi"/>
        </w:rPr>
        <w:t xml:space="preserve">Waitrose </w:t>
      </w:r>
      <w:r w:rsidR="00BD2971">
        <w:rPr>
          <w:rFonts w:cstheme="minorHAnsi"/>
        </w:rPr>
        <w:t xml:space="preserve">branch </w:t>
      </w:r>
      <w:r w:rsidR="00BD2971" w:rsidRPr="0031690A">
        <w:rPr>
          <w:rFonts w:cstheme="minorHAnsi"/>
        </w:rPr>
        <w:t xml:space="preserve">in Sunningdale is </w:t>
      </w:r>
      <w:r w:rsidR="00EA0C03">
        <w:rPr>
          <w:rFonts w:cstheme="minorHAnsi"/>
        </w:rPr>
        <w:t>1,451 sq.</w:t>
      </w:r>
      <w:r>
        <w:rPr>
          <w:rFonts w:cstheme="minorHAnsi"/>
        </w:rPr>
        <w:t xml:space="preserve"> </w:t>
      </w:r>
      <w:r w:rsidR="00EA0C03">
        <w:rPr>
          <w:rFonts w:cstheme="minorHAnsi"/>
        </w:rPr>
        <w:t>metres</w:t>
      </w:r>
      <w:r>
        <w:rPr>
          <w:rFonts w:cstheme="minorHAnsi"/>
        </w:rPr>
        <w:t xml:space="preserve"> making this </w:t>
      </w:r>
      <w:r w:rsidR="008273FB">
        <w:rPr>
          <w:rFonts w:cstheme="minorHAnsi"/>
          <w:shd w:val="clear" w:color="auto" w:fill="FFFFFF"/>
        </w:rPr>
        <w:t>c</w:t>
      </w:r>
      <w:r w:rsidR="00BD2971" w:rsidRPr="003677A2">
        <w:rPr>
          <w:rFonts w:cstheme="minorHAnsi"/>
          <w:shd w:val="clear" w:color="auto" w:fill="FFFFFF"/>
        </w:rPr>
        <w:t xml:space="preserve">ommunity </w:t>
      </w:r>
      <w:r w:rsidR="008273FB">
        <w:rPr>
          <w:rFonts w:cstheme="minorHAnsi"/>
          <w:shd w:val="clear" w:color="auto" w:fill="FFFFFF"/>
        </w:rPr>
        <w:t>h</w:t>
      </w:r>
      <w:r w:rsidR="00BD2971" w:rsidRPr="003677A2">
        <w:rPr>
          <w:rFonts w:cstheme="minorHAnsi"/>
          <w:shd w:val="clear" w:color="auto" w:fill="FFFFFF"/>
        </w:rPr>
        <w:t xml:space="preserve">ealth </w:t>
      </w:r>
      <w:r w:rsidR="008273FB">
        <w:rPr>
          <w:rFonts w:cstheme="minorHAnsi"/>
          <w:shd w:val="clear" w:color="auto" w:fill="FFFFFF"/>
        </w:rPr>
        <w:t>h</w:t>
      </w:r>
      <w:r w:rsidR="00BD2971" w:rsidRPr="003677A2">
        <w:rPr>
          <w:rFonts w:cstheme="minorHAnsi"/>
          <w:shd w:val="clear" w:color="auto" w:fill="FFFFFF"/>
        </w:rPr>
        <w:t>ub 28% bigger than Waitrose.</w:t>
      </w:r>
    </w:p>
    <w:p w14:paraId="5FB88C70" w14:textId="695E18AD" w:rsidR="00BD2971" w:rsidRPr="00BD2971" w:rsidRDefault="00BD2971" w:rsidP="00BD2971">
      <w:pPr>
        <w:spacing w:after="0" w:line="240" w:lineRule="auto"/>
        <w:rPr>
          <w:rFonts w:cstheme="minorHAnsi"/>
          <w:b/>
          <w:bCs/>
        </w:rPr>
      </w:pPr>
      <w:r w:rsidRPr="00BD2971">
        <w:rPr>
          <w:rFonts w:cstheme="minorHAnsi"/>
          <w:b/>
          <w:bCs/>
        </w:rPr>
        <w:br/>
      </w:r>
    </w:p>
    <w:p w14:paraId="183D9811" w14:textId="36521568" w:rsidR="00BD2971" w:rsidRPr="003D3158" w:rsidRDefault="00944001" w:rsidP="00BD2971">
      <w:pPr>
        <w:pStyle w:val="ListParagraph"/>
        <w:numPr>
          <w:ilvl w:val="0"/>
          <w:numId w:val="10"/>
        </w:numPr>
        <w:spacing w:after="0" w:line="240" w:lineRule="auto"/>
        <w:rPr>
          <w:rFonts w:cstheme="minorHAnsi"/>
          <w:b/>
          <w:bCs/>
          <w:sz w:val="24"/>
          <w:szCs w:val="24"/>
        </w:rPr>
      </w:pPr>
      <w:r w:rsidRPr="003D3158">
        <w:rPr>
          <w:rFonts w:cstheme="minorHAnsi"/>
          <w:b/>
          <w:bCs/>
          <w:sz w:val="24"/>
          <w:szCs w:val="24"/>
        </w:rPr>
        <w:lastRenderedPageBreak/>
        <w:t>Provision of c</w:t>
      </w:r>
      <w:r w:rsidR="00BD2971" w:rsidRPr="003D3158">
        <w:rPr>
          <w:rFonts w:cstheme="minorHAnsi"/>
          <w:b/>
          <w:bCs/>
          <w:sz w:val="24"/>
          <w:szCs w:val="24"/>
        </w:rPr>
        <w:t>linical space</w:t>
      </w:r>
      <w:r w:rsidRPr="003D3158">
        <w:rPr>
          <w:rFonts w:cstheme="minorHAnsi"/>
          <w:b/>
          <w:bCs/>
          <w:sz w:val="24"/>
          <w:szCs w:val="24"/>
        </w:rPr>
        <w:t xml:space="preserve"> at the new community health hub</w:t>
      </w:r>
    </w:p>
    <w:p w14:paraId="477A4DCD" w14:textId="2D8748C1" w:rsidR="00346A27" w:rsidRDefault="00346A27" w:rsidP="00346A27">
      <w:pPr>
        <w:spacing w:after="0" w:line="240" w:lineRule="auto"/>
        <w:rPr>
          <w:rFonts w:cstheme="minorHAnsi"/>
        </w:rPr>
      </w:pPr>
    </w:p>
    <w:p w14:paraId="2EF7FF6D" w14:textId="003C3F07" w:rsidR="002856B4" w:rsidRDefault="00CF0F04" w:rsidP="00346A27">
      <w:pPr>
        <w:spacing w:after="0" w:line="240" w:lineRule="auto"/>
      </w:pPr>
      <w:r>
        <w:rPr>
          <w:rFonts w:cstheme="minorHAnsi"/>
        </w:rPr>
        <w:t xml:space="preserve">The </w:t>
      </w:r>
      <w:r w:rsidR="004A3FB2">
        <w:rPr>
          <w:rFonts w:cstheme="minorHAnsi"/>
        </w:rPr>
        <w:t xml:space="preserve">Ascot </w:t>
      </w:r>
      <w:r w:rsidR="00585C24">
        <w:rPr>
          <w:rFonts w:cstheme="minorHAnsi"/>
        </w:rPr>
        <w:t>P</w:t>
      </w:r>
      <w:r w:rsidR="004A3FB2">
        <w:rPr>
          <w:rFonts w:cstheme="minorHAnsi"/>
        </w:rPr>
        <w:t xml:space="preserve">lan </w:t>
      </w:r>
      <w:r w:rsidR="0052116E">
        <w:rPr>
          <w:rFonts w:cstheme="minorHAnsi"/>
        </w:rPr>
        <w:t xml:space="preserve">outlines the goal of an </w:t>
      </w:r>
      <w:r w:rsidR="0052660A" w:rsidRPr="0052660A">
        <w:t xml:space="preserve">integrated care service </w:t>
      </w:r>
      <w:r w:rsidR="0052116E">
        <w:t>within</w:t>
      </w:r>
      <w:r w:rsidR="0052660A" w:rsidRPr="0052660A">
        <w:t xml:space="preserve"> the community </w:t>
      </w:r>
      <w:r w:rsidR="0052116E">
        <w:t>through collaboration of GP practices at the two sites of Heatherwood hospital and Ben Lynwood. The Ascot Plan propose</w:t>
      </w:r>
      <w:r w:rsidR="002856B4">
        <w:t>s</w:t>
      </w:r>
      <w:r w:rsidR="0052116E">
        <w:t xml:space="preserve"> that this would</w:t>
      </w:r>
      <w:r w:rsidR="002856B4">
        <w:t xml:space="preserve"> be ‘</w:t>
      </w:r>
      <w:r w:rsidR="0052116E" w:rsidRPr="0052116E">
        <w:rPr>
          <w:i/>
          <w:iCs/>
        </w:rPr>
        <w:t xml:space="preserve">a </w:t>
      </w:r>
      <w:r w:rsidR="0052660A" w:rsidRPr="0052116E">
        <w:rPr>
          <w:i/>
          <w:iCs/>
        </w:rPr>
        <w:t xml:space="preserve">multi-disciplinary community response including general practitioners, district nursing, physiotherapists, mental health professionals, enhanced care practitioners, social </w:t>
      </w:r>
      <w:r w:rsidR="0052660A" w:rsidRPr="002856B4">
        <w:rPr>
          <w:i/>
          <w:iCs/>
        </w:rPr>
        <w:t>care and the voluntary sector</w:t>
      </w:r>
      <w:r w:rsidR="004041D1">
        <w:t>’.</w:t>
      </w:r>
    </w:p>
    <w:p w14:paraId="2A99B5ED" w14:textId="77777777" w:rsidR="0058553A" w:rsidRDefault="0058553A" w:rsidP="00346A27">
      <w:pPr>
        <w:spacing w:after="0" w:line="240" w:lineRule="auto"/>
      </w:pPr>
    </w:p>
    <w:p w14:paraId="4F075381" w14:textId="34ECE250" w:rsidR="00D43849" w:rsidRDefault="0058553A" w:rsidP="00346A27">
      <w:pPr>
        <w:spacing w:after="0" w:line="240" w:lineRule="auto"/>
      </w:pPr>
      <w:r>
        <w:t>That the</w:t>
      </w:r>
      <w:r w:rsidR="004919B5">
        <w:t>n</w:t>
      </w:r>
      <w:r>
        <w:t xml:space="preserve"> prompts the question: w</w:t>
      </w:r>
      <w:r w:rsidR="009E6E86" w:rsidRPr="0058553A">
        <w:rPr>
          <w:i/>
          <w:iCs/>
        </w:rPr>
        <w:t xml:space="preserve">hat is the </w:t>
      </w:r>
      <w:r w:rsidR="00944001">
        <w:rPr>
          <w:i/>
          <w:iCs/>
        </w:rPr>
        <w:t xml:space="preserve">clinical </w:t>
      </w:r>
      <w:r>
        <w:rPr>
          <w:i/>
          <w:iCs/>
        </w:rPr>
        <w:t>space</w:t>
      </w:r>
      <w:r w:rsidR="00B04A4D">
        <w:rPr>
          <w:i/>
          <w:iCs/>
        </w:rPr>
        <w:t xml:space="preserve"> </w:t>
      </w:r>
      <w:r w:rsidR="006C5692">
        <w:rPr>
          <w:i/>
          <w:iCs/>
        </w:rPr>
        <w:t>needed</w:t>
      </w:r>
      <w:r w:rsidR="001E112C">
        <w:rPr>
          <w:i/>
          <w:iCs/>
        </w:rPr>
        <w:t xml:space="preserve"> </w:t>
      </w:r>
      <w:r w:rsidR="00B04A4D">
        <w:rPr>
          <w:i/>
          <w:iCs/>
        </w:rPr>
        <w:t>for the community health hub</w:t>
      </w:r>
      <w:r w:rsidR="009E6E86" w:rsidRPr="006908C4">
        <w:t>?</w:t>
      </w:r>
      <w:r w:rsidR="006908C4">
        <w:t xml:space="preserve"> </w:t>
      </w:r>
    </w:p>
    <w:p w14:paraId="222EC3F9" w14:textId="77777777" w:rsidR="00D43849" w:rsidRDefault="00D43849" w:rsidP="00346A27">
      <w:pPr>
        <w:spacing w:after="0" w:line="240" w:lineRule="auto"/>
      </w:pPr>
    </w:p>
    <w:p w14:paraId="54556988" w14:textId="5A2579E1" w:rsidR="00D43849" w:rsidRDefault="00D43849" w:rsidP="00346A27">
      <w:pPr>
        <w:spacing w:after="0" w:line="240" w:lineRule="auto"/>
      </w:pPr>
      <w:r>
        <w:t xml:space="preserve">There </w:t>
      </w:r>
      <w:r w:rsidR="00C2514E">
        <w:t>is</w:t>
      </w:r>
      <w:r>
        <w:t xml:space="preserve"> a total of 32 clinical and consultation rooms proposed for the community health hub.</w:t>
      </w:r>
    </w:p>
    <w:p w14:paraId="759D64A9" w14:textId="78B76D4D" w:rsidR="00941E9B" w:rsidRDefault="00D60192" w:rsidP="00346A27">
      <w:pPr>
        <w:spacing w:after="0" w:line="240" w:lineRule="auto"/>
      </w:pPr>
      <w:r>
        <w:t xml:space="preserve">If we look at the existing number of </w:t>
      </w:r>
      <w:r w:rsidR="00F47CF8">
        <w:t>GPs</w:t>
      </w:r>
      <w:r>
        <w:t xml:space="preserve"> at Kings Corner and Magnolia House (Very Special Circumstances (VSC) 2.13) there are a total of 18 </w:t>
      </w:r>
      <w:r w:rsidR="00F47CF8">
        <w:t>GPs</w:t>
      </w:r>
      <w:r>
        <w:t xml:space="preserve"> </w:t>
      </w:r>
      <w:r w:rsidR="0059082D">
        <w:t>with</w:t>
      </w:r>
      <w:r>
        <w:t xml:space="preserve"> a maximum of 11 </w:t>
      </w:r>
      <w:r w:rsidR="00F47CF8">
        <w:t>GPs</w:t>
      </w:r>
      <w:r>
        <w:t xml:space="preserve"> at any one time. </w:t>
      </w:r>
      <w:r w:rsidR="00941E9B">
        <w:t xml:space="preserve">Page 14 of the Ascot Plan (below) shows a similar, although slightly lower number of </w:t>
      </w:r>
      <w:r w:rsidR="00F47CF8">
        <w:t>GPs</w:t>
      </w:r>
      <w:r w:rsidR="00941E9B">
        <w:t xml:space="preserve"> at 8.7 </w:t>
      </w:r>
      <w:r w:rsidR="0016510B">
        <w:t>FTE</w:t>
      </w:r>
    </w:p>
    <w:p w14:paraId="6E0ED6AB" w14:textId="77777777" w:rsidR="00941E9B" w:rsidRDefault="00941E9B" w:rsidP="00346A27">
      <w:pPr>
        <w:spacing w:after="0" w:line="240" w:lineRule="auto"/>
      </w:pPr>
    </w:p>
    <w:tbl>
      <w:tblPr>
        <w:tblW w:w="8926" w:type="dxa"/>
        <w:tblLook w:val="04A0" w:firstRow="1" w:lastRow="0" w:firstColumn="1" w:lastColumn="0" w:noHBand="0" w:noVBand="1"/>
      </w:tblPr>
      <w:tblGrid>
        <w:gridCol w:w="1980"/>
        <w:gridCol w:w="2126"/>
        <w:gridCol w:w="2268"/>
        <w:gridCol w:w="2552"/>
      </w:tblGrid>
      <w:tr w:rsidR="00941E9B" w:rsidRPr="00930E14" w14:paraId="7FDAC9CF" w14:textId="77777777" w:rsidTr="003365B3">
        <w:trPr>
          <w:trHeight w:val="420"/>
        </w:trPr>
        <w:tc>
          <w:tcPr>
            <w:tcW w:w="8926"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602AE06" w14:textId="1D47EF10" w:rsidR="00941E9B" w:rsidRPr="00930E14" w:rsidRDefault="00941E9B" w:rsidP="003365B3">
            <w:pPr>
              <w:spacing w:after="0" w:line="240" w:lineRule="auto"/>
              <w:jc w:val="center"/>
              <w:rPr>
                <w:rFonts w:ascii="Calibri" w:eastAsia="Times New Roman" w:hAnsi="Calibri" w:cs="Times New Roman"/>
                <w:b/>
                <w:bCs/>
                <w:color w:val="000000"/>
                <w:sz w:val="24"/>
                <w:szCs w:val="24"/>
                <w:lang w:eastAsia="en-GB"/>
              </w:rPr>
            </w:pPr>
            <w:r w:rsidRPr="00930E14">
              <w:rPr>
                <w:rFonts w:ascii="Calibri" w:eastAsia="Times New Roman" w:hAnsi="Calibri" w:cs="Times New Roman"/>
                <w:b/>
                <w:bCs/>
                <w:color w:val="000000"/>
                <w:sz w:val="24"/>
                <w:szCs w:val="24"/>
                <w:lang w:eastAsia="en-GB"/>
              </w:rPr>
              <w:t xml:space="preserve">Number of </w:t>
            </w:r>
            <w:r w:rsidR="00F47CF8">
              <w:rPr>
                <w:rFonts w:ascii="Calibri" w:eastAsia="Times New Roman" w:hAnsi="Calibri" w:cs="Times New Roman"/>
                <w:b/>
                <w:bCs/>
                <w:color w:val="000000"/>
                <w:sz w:val="24"/>
                <w:szCs w:val="24"/>
                <w:lang w:eastAsia="en-GB"/>
              </w:rPr>
              <w:t>GPs</w:t>
            </w:r>
            <w:r w:rsidRPr="00930E14">
              <w:rPr>
                <w:rFonts w:ascii="Calibri" w:eastAsia="Times New Roman" w:hAnsi="Calibri" w:cs="Times New Roman"/>
                <w:b/>
                <w:bCs/>
                <w:color w:val="000000"/>
                <w:sz w:val="24"/>
                <w:szCs w:val="24"/>
                <w:lang w:eastAsia="en-GB"/>
              </w:rPr>
              <w:t xml:space="preserve"> (2019) (Ascot Plan-February 2020)</w:t>
            </w:r>
          </w:p>
        </w:tc>
      </w:tr>
      <w:tr w:rsidR="00941E9B" w:rsidRPr="00930E14" w14:paraId="287530D6" w14:textId="77777777" w:rsidTr="003365B3">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77CFBCB" w14:textId="77777777" w:rsidR="00941E9B" w:rsidRPr="00930E14" w:rsidRDefault="00941E9B" w:rsidP="003365B3">
            <w:pPr>
              <w:spacing w:after="0" w:line="240" w:lineRule="auto"/>
              <w:jc w:val="center"/>
              <w:rPr>
                <w:rFonts w:ascii="Calibri" w:eastAsia="Times New Roman" w:hAnsi="Calibri" w:cs="Times New Roman"/>
                <w:b/>
                <w:bCs/>
                <w:color w:val="000000"/>
                <w:lang w:eastAsia="en-GB"/>
              </w:rPr>
            </w:pPr>
            <w:r w:rsidRPr="00930E14">
              <w:rPr>
                <w:rFonts w:ascii="Calibri" w:eastAsia="Times New Roman" w:hAnsi="Calibri" w:cs="Times New Roman"/>
                <w:b/>
                <w:bCs/>
                <w:color w:val="000000"/>
                <w:lang w:eastAsia="en-GB"/>
              </w:rPr>
              <w:t>Ward</w:t>
            </w:r>
          </w:p>
        </w:tc>
        <w:tc>
          <w:tcPr>
            <w:tcW w:w="2126" w:type="dxa"/>
            <w:tcBorders>
              <w:top w:val="nil"/>
              <w:left w:val="nil"/>
              <w:bottom w:val="single" w:sz="4" w:space="0" w:color="auto"/>
              <w:right w:val="single" w:sz="4" w:space="0" w:color="auto"/>
            </w:tcBorders>
            <w:shd w:val="clear" w:color="auto" w:fill="auto"/>
            <w:vAlign w:val="center"/>
            <w:hideMark/>
          </w:tcPr>
          <w:p w14:paraId="60D45C4F" w14:textId="77777777" w:rsidR="00941E9B" w:rsidRPr="00930E14" w:rsidRDefault="00941E9B" w:rsidP="003365B3">
            <w:pPr>
              <w:spacing w:after="0" w:line="240" w:lineRule="auto"/>
              <w:jc w:val="center"/>
              <w:rPr>
                <w:rFonts w:ascii="Calibri" w:eastAsia="Times New Roman" w:hAnsi="Calibri" w:cs="Times New Roman"/>
                <w:b/>
                <w:bCs/>
                <w:color w:val="000000"/>
                <w:lang w:eastAsia="en-GB"/>
              </w:rPr>
            </w:pPr>
            <w:r w:rsidRPr="00930E14">
              <w:rPr>
                <w:rFonts w:ascii="Calibri" w:eastAsia="Times New Roman" w:hAnsi="Calibri" w:cs="Times New Roman"/>
                <w:b/>
                <w:bCs/>
                <w:color w:val="000000"/>
                <w:lang w:eastAsia="en-GB"/>
              </w:rPr>
              <w:t>Registered number of patients (2019)</w:t>
            </w:r>
          </w:p>
        </w:tc>
        <w:tc>
          <w:tcPr>
            <w:tcW w:w="2268" w:type="dxa"/>
            <w:tcBorders>
              <w:top w:val="nil"/>
              <w:left w:val="nil"/>
              <w:bottom w:val="single" w:sz="4" w:space="0" w:color="auto"/>
              <w:right w:val="single" w:sz="4" w:space="0" w:color="auto"/>
            </w:tcBorders>
            <w:shd w:val="clear" w:color="auto" w:fill="auto"/>
            <w:vAlign w:val="center"/>
            <w:hideMark/>
          </w:tcPr>
          <w:p w14:paraId="4DE61A11" w14:textId="16AACAE5" w:rsidR="00941E9B" w:rsidRPr="00930E14" w:rsidRDefault="00941E9B" w:rsidP="003365B3">
            <w:pPr>
              <w:spacing w:after="0" w:line="240" w:lineRule="auto"/>
              <w:jc w:val="center"/>
              <w:rPr>
                <w:rFonts w:ascii="Calibri" w:eastAsia="Times New Roman" w:hAnsi="Calibri" w:cs="Times New Roman"/>
                <w:b/>
                <w:bCs/>
                <w:color w:val="000000"/>
                <w:lang w:eastAsia="en-GB"/>
              </w:rPr>
            </w:pPr>
            <w:r w:rsidRPr="00930E14">
              <w:rPr>
                <w:rFonts w:ascii="Calibri" w:eastAsia="Times New Roman" w:hAnsi="Calibri" w:cs="Times New Roman"/>
                <w:b/>
                <w:bCs/>
                <w:color w:val="000000"/>
                <w:lang w:eastAsia="en-GB"/>
              </w:rPr>
              <w:t xml:space="preserve">Number of </w:t>
            </w:r>
            <w:r w:rsidR="00F47CF8">
              <w:rPr>
                <w:rFonts w:ascii="Calibri" w:eastAsia="Times New Roman" w:hAnsi="Calibri" w:cs="Times New Roman"/>
                <w:b/>
                <w:bCs/>
                <w:color w:val="000000"/>
                <w:lang w:eastAsia="en-GB"/>
              </w:rPr>
              <w:t>GPs</w:t>
            </w:r>
            <w:r w:rsidRPr="00930E14">
              <w:rPr>
                <w:rFonts w:ascii="Calibri" w:eastAsia="Times New Roman" w:hAnsi="Calibri" w:cs="Times New Roman"/>
                <w:b/>
                <w:bCs/>
                <w:color w:val="000000"/>
                <w:lang w:eastAsia="en-GB"/>
              </w:rPr>
              <w:t xml:space="preserve"> - whole time equivalents (</w:t>
            </w:r>
            <w:r w:rsidR="0016510B">
              <w:rPr>
                <w:rFonts w:ascii="Calibri" w:eastAsia="Times New Roman" w:hAnsi="Calibri" w:cs="Times New Roman"/>
                <w:b/>
                <w:bCs/>
                <w:color w:val="000000"/>
                <w:lang w:eastAsia="en-GB"/>
              </w:rPr>
              <w:t>FTE</w:t>
            </w:r>
            <w:r w:rsidRPr="00930E14">
              <w:rPr>
                <w:rFonts w:ascii="Calibri" w:eastAsia="Times New Roman" w:hAnsi="Calibri" w:cs="Times New Roman"/>
                <w:b/>
                <w:bCs/>
                <w:color w:val="00000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0F82D013" w14:textId="10832EFC" w:rsidR="00941E9B" w:rsidRPr="00930E14" w:rsidRDefault="00941E9B" w:rsidP="003365B3">
            <w:pPr>
              <w:spacing w:after="0" w:line="240" w:lineRule="auto"/>
              <w:jc w:val="center"/>
              <w:rPr>
                <w:rFonts w:ascii="Calibri" w:eastAsia="Times New Roman" w:hAnsi="Calibri" w:cs="Times New Roman"/>
                <w:b/>
                <w:bCs/>
                <w:color w:val="000000"/>
                <w:lang w:eastAsia="en-GB"/>
              </w:rPr>
            </w:pPr>
            <w:r w:rsidRPr="00930E14">
              <w:rPr>
                <w:rFonts w:ascii="Calibri" w:eastAsia="Times New Roman" w:hAnsi="Calibri" w:cs="Times New Roman"/>
                <w:b/>
                <w:bCs/>
                <w:color w:val="000000"/>
                <w:lang w:eastAsia="en-GB"/>
              </w:rPr>
              <w:t xml:space="preserve">Number of </w:t>
            </w:r>
            <w:r w:rsidR="00F47CF8">
              <w:rPr>
                <w:rFonts w:ascii="Calibri" w:eastAsia="Times New Roman" w:hAnsi="Calibri" w:cs="Times New Roman"/>
                <w:b/>
                <w:bCs/>
                <w:color w:val="000000"/>
                <w:lang w:eastAsia="en-GB"/>
              </w:rPr>
              <w:t>GPs</w:t>
            </w:r>
            <w:r w:rsidRPr="00930E14">
              <w:rPr>
                <w:rFonts w:ascii="Calibri" w:eastAsia="Times New Roman" w:hAnsi="Calibri" w:cs="Times New Roman"/>
                <w:b/>
                <w:bCs/>
                <w:color w:val="000000"/>
                <w:lang w:eastAsia="en-GB"/>
              </w:rPr>
              <w:t xml:space="preserve"> - whole time equivalents (</w:t>
            </w:r>
            <w:r w:rsidR="0016510B">
              <w:rPr>
                <w:rFonts w:ascii="Calibri" w:eastAsia="Times New Roman" w:hAnsi="Calibri" w:cs="Times New Roman"/>
                <w:b/>
                <w:bCs/>
                <w:color w:val="000000"/>
                <w:lang w:eastAsia="en-GB"/>
              </w:rPr>
              <w:t>FTE</w:t>
            </w:r>
            <w:r w:rsidRPr="00930E14">
              <w:rPr>
                <w:rFonts w:ascii="Calibri" w:eastAsia="Times New Roman" w:hAnsi="Calibri" w:cs="Times New Roman"/>
                <w:b/>
                <w:bCs/>
                <w:color w:val="000000"/>
                <w:lang w:eastAsia="en-GB"/>
              </w:rPr>
              <w:t>)</w:t>
            </w:r>
          </w:p>
        </w:tc>
      </w:tr>
      <w:tr w:rsidR="00941E9B" w:rsidRPr="00930E14" w14:paraId="7299D043" w14:textId="77777777" w:rsidTr="003365B3">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2DF439B" w14:textId="77777777" w:rsidR="00941E9B" w:rsidRPr="00930E14" w:rsidRDefault="00941E9B" w:rsidP="003365B3">
            <w:pPr>
              <w:spacing w:after="0" w:line="240" w:lineRule="auto"/>
              <w:rPr>
                <w:rFonts w:ascii="Calibri" w:eastAsia="Times New Roman" w:hAnsi="Calibri" w:cs="Times New Roman"/>
                <w:b/>
                <w:bCs/>
                <w:color w:val="000000"/>
                <w:sz w:val="24"/>
                <w:szCs w:val="24"/>
                <w:lang w:eastAsia="en-GB"/>
              </w:rPr>
            </w:pPr>
            <w:r w:rsidRPr="00930E14">
              <w:rPr>
                <w:rFonts w:ascii="Calibri" w:eastAsia="Times New Roman" w:hAnsi="Calibri" w:cs="Times New Roman"/>
                <w:b/>
                <w:bCs/>
                <w:color w:val="000000"/>
                <w:sz w:val="24"/>
                <w:szCs w:val="24"/>
                <w:lang w:eastAsia="en-GB"/>
              </w:rPr>
              <w:t>Kings Corner</w:t>
            </w:r>
          </w:p>
        </w:tc>
        <w:tc>
          <w:tcPr>
            <w:tcW w:w="2126" w:type="dxa"/>
            <w:tcBorders>
              <w:top w:val="nil"/>
              <w:left w:val="nil"/>
              <w:bottom w:val="single" w:sz="4" w:space="0" w:color="auto"/>
              <w:right w:val="single" w:sz="4" w:space="0" w:color="auto"/>
            </w:tcBorders>
            <w:shd w:val="clear" w:color="auto" w:fill="auto"/>
            <w:noWrap/>
            <w:vAlign w:val="center"/>
            <w:hideMark/>
          </w:tcPr>
          <w:p w14:paraId="3A315E30"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7,715</w:t>
            </w:r>
          </w:p>
        </w:tc>
        <w:tc>
          <w:tcPr>
            <w:tcW w:w="2268" w:type="dxa"/>
            <w:tcBorders>
              <w:top w:val="nil"/>
              <w:left w:val="nil"/>
              <w:bottom w:val="single" w:sz="4" w:space="0" w:color="auto"/>
              <w:right w:val="single" w:sz="4" w:space="0" w:color="auto"/>
            </w:tcBorders>
            <w:shd w:val="clear" w:color="auto" w:fill="auto"/>
            <w:noWrap/>
            <w:vAlign w:val="center"/>
            <w:hideMark/>
          </w:tcPr>
          <w:p w14:paraId="12F718DA"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3.40</w:t>
            </w:r>
          </w:p>
        </w:tc>
        <w:tc>
          <w:tcPr>
            <w:tcW w:w="2552" w:type="dxa"/>
            <w:tcBorders>
              <w:top w:val="nil"/>
              <w:left w:val="nil"/>
              <w:bottom w:val="single" w:sz="4" w:space="0" w:color="auto"/>
              <w:right w:val="single" w:sz="4" w:space="0" w:color="auto"/>
            </w:tcBorders>
            <w:shd w:val="clear" w:color="auto" w:fill="auto"/>
            <w:noWrap/>
            <w:vAlign w:val="center"/>
            <w:hideMark/>
          </w:tcPr>
          <w:p w14:paraId="2C812CA0"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3.40</w:t>
            </w:r>
          </w:p>
        </w:tc>
      </w:tr>
      <w:tr w:rsidR="00941E9B" w:rsidRPr="00930E14" w14:paraId="238E8CB5" w14:textId="77777777" w:rsidTr="003365B3">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1D787E3" w14:textId="77777777" w:rsidR="00941E9B" w:rsidRPr="00930E14" w:rsidRDefault="00941E9B" w:rsidP="003365B3">
            <w:pPr>
              <w:spacing w:after="0" w:line="240" w:lineRule="auto"/>
              <w:rPr>
                <w:rFonts w:ascii="Calibri" w:eastAsia="Times New Roman" w:hAnsi="Calibri" w:cs="Times New Roman"/>
                <w:b/>
                <w:bCs/>
                <w:color w:val="000000"/>
                <w:sz w:val="24"/>
                <w:szCs w:val="24"/>
                <w:lang w:eastAsia="en-GB"/>
              </w:rPr>
            </w:pPr>
            <w:r w:rsidRPr="00930E14">
              <w:rPr>
                <w:rFonts w:ascii="Calibri" w:eastAsia="Times New Roman" w:hAnsi="Calibri" w:cs="Times New Roman"/>
                <w:b/>
                <w:bCs/>
                <w:color w:val="000000"/>
                <w:sz w:val="24"/>
                <w:szCs w:val="24"/>
                <w:lang w:eastAsia="en-GB"/>
              </w:rPr>
              <w:t>Magnolia House</w:t>
            </w:r>
          </w:p>
        </w:tc>
        <w:tc>
          <w:tcPr>
            <w:tcW w:w="2126" w:type="dxa"/>
            <w:tcBorders>
              <w:top w:val="nil"/>
              <w:left w:val="nil"/>
              <w:bottom w:val="single" w:sz="4" w:space="0" w:color="auto"/>
              <w:right w:val="single" w:sz="4" w:space="0" w:color="auto"/>
            </w:tcBorders>
            <w:shd w:val="clear" w:color="auto" w:fill="auto"/>
            <w:noWrap/>
            <w:vAlign w:val="center"/>
            <w:hideMark/>
          </w:tcPr>
          <w:p w14:paraId="1484D886"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9,175</w:t>
            </w:r>
          </w:p>
        </w:tc>
        <w:tc>
          <w:tcPr>
            <w:tcW w:w="2268" w:type="dxa"/>
            <w:tcBorders>
              <w:top w:val="nil"/>
              <w:left w:val="nil"/>
              <w:bottom w:val="single" w:sz="4" w:space="0" w:color="auto"/>
              <w:right w:val="single" w:sz="4" w:space="0" w:color="auto"/>
            </w:tcBorders>
            <w:shd w:val="clear" w:color="auto" w:fill="auto"/>
            <w:noWrap/>
            <w:vAlign w:val="center"/>
            <w:hideMark/>
          </w:tcPr>
          <w:p w14:paraId="477343FA"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5.30</w:t>
            </w:r>
          </w:p>
        </w:tc>
        <w:tc>
          <w:tcPr>
            <w:tcW w:w="2552" w:type="dxa"/>
            <w:tcBorders>
              <w:top w:val="nil"/>
              <w:left w:val="nil"/>
              <w:bottom w:val="single" w:sz="4" w:space="0" w:color="auto"/>
              <w:right w:val="single" w:sz="4" w:space="0" w:color="auto"/>
            </w:tcBorders>
            <w:shd w:val="clear" w:color="auto" w:fill="auto"/>
            <w:noWrap/>
            <w:vAlign w:val="center"/>
            <w:hideMark/>
          </w:tcPr>
          <w:p w14:paraId="2C03A99C"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5.30</w:t>
            </w:r>
          </w:p>
        </w:tc>
      </w:tr>
      <w:tr w:rsidR="00941E9B" w:rsidRPr="00930E14" w14:paraId="37531BA3" w14:textId="77777777" w:rsidTr="003365B3">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EB8B6B9" w14:textId="77777777" w:rsidR="00941E9B" w:rsidRPr="00930E14" w:rsidRDefault="00941E9B" w:rsidP="003365B3">
            <w:pPr>
              <w:spacing w:after="0" w:line="240" w:lineRule="auto"/>
              <w:rPr>
                <w:rFonts w:ascii="Calibri" w:eastAsia="Times New Roman" w:hAnsi="Calibri" w:cs="Times New Roman"/>
                <w:b/>
                <w:bCs/>
                <w:color w:val="000000"/>
                <w:sz w:val="24"/>
                <w:szCs w:val="24"/>
                <w:lang w:eastAsia="en-GB"/>
              </w:rPr>
            </w:pPr>
            <w:r w:rsidRPr="00930E14">
              <w:rPr>
                <w:rFonts w:ascii="Calibri" w:eastAsia="Times New Roman" w:hAnsi="Calibri" w:cs="Times New Roman"/>
                <w:b/>
                <w:bCs/>
                <w:color w:val="000000"/>
                <w:sz w:val="24"/>
                <w:szCs w:val="24"/>
                <w:lang w:eastAsia="en-GB"/>
              </w:rPr>
              <w:t>Green Meadows</w:t>
            </w:r>
          </w:p>
        </w:tc>
        <w:tc>
          <w:tcPr>
            <w:tcW w:w="2126" w:type="dxa"/>
            <w:tcBorders>
              <w:top w:val="nil"/>
              <w:left w:val="nil"/>
              <w:bottom w:val="single" w:sz="4" w:space="0" w:color="auto"/>
              <w:right w:val="single" w:sz="4" w:space="0" w:color="auto"/>
            </w:tcBorders>
            <w:shd w:val="clear" w:color="auto" w:fill="auto"/>
            <w:noWrap/>
            <w:vAlign w:val="center"/>
            <w:hideMark/>
          </w:tcPr>
          <w:p w14:paraId="7F46AF2B"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9,925</w:t>
            </w:r>
          </w:p>
        </w:tc>
        <w:tc>
          <w:tcPr>
            <w:tcW w:w="2268" w:type="dxa"/>
            <w:tcBorders>
              <w:top w:val="nil"/>
              <w:left w:val="nil"/>
              <w:bottom w:val="single" w:sz="4" w:space="0" w:color="auto"/>
              <w:right w:val="single" w:sz="4" w:space="0" w:color="auto"/>
            </w:tcBorders>
            <w:shd w:val="clear" w:color="auto" w:fill="auto"/>
            <w:noWrap/>
            <w:vAlign w:val="center"/>
            <w:hideMark/>
          </w:tcPr>
          <w:p w14:paraId="55BB0E43"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5.87</w:t>
            </w:r>
          </w:p>
        </w:tc>
        <w:tc>
          <w:tcPr>
            <w:tcW w:w="2552" w:type="dxa"/>
            <w:tcBorders>
              <w:top w:val="nil"/>
              <w:left w:val="nil"/>
              <w:bottom w:val="single" w:sz="4" w:space="0" w:color="auto"/>
              <w:right w:val="single" w:sz="4" w:space="0" w:color="auto"/>
            </w:tcBorders>
            <w:shd w:val="clear" w:color="auto" w:fill="auto"/>
            <w:noWrap/>
            <w:vAlign w:val="center"/>
            <w:hideMark/>
          </w:tcPr>
          <w:p w14:paraId="041F141C"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 </w:t>
            </w:r>
          </w:p>
        </w:tc>
      </w:tr>
      <w:tr w:rsidR="00941E9B" w:rsidRPr="00930E14" w14:paraId="3A136C0D" w14:textId="77777777" w:rsidTr="003365B3">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580F2A" w14:textId="77777777" w:rsidR="00941E9B" w:rsidRPr="00930E14" w:rsidRDefault="00941E9B" w:rsidP="003365B3">
            <w:pPr>
              <w:spacing w:after="0" w:line="240" w:lineRule="auto"/>
              <w:rPr>
                <w:rFonts w:ascii="Calibri" w:eastAsia="Times New Roman" w:hAnsi="Calibri" w:cs="Times New Roman"/>
                <w:b/>
                <w:bCs/>
                <w:color w:val="000000"/>
                <w:sz w:val="24"/>
                <w:szCs w:val="24"/>
                <w:lang w:eastAsia="en-GB"/>
              </w:rPr>
            </w:pPr>
            <w:r w:rsidRPr="00930E14">
              <w:rPr>
                <w:rFonts w:ascii="Calibri" w:eastAsia="Times New Roman" w:hAnsi="Calibri" w:cs="Times New Roman"/>
                <w:b/>
                <w:bCs/>
                <w:color w:val="000000"/>
                <w:sz w:val="24"/>
                <w:szCs w:val="24"/>
                <w:lang w:eastAsia="en-GB"/>
              </w:rPr>
              <w:t>Ascot MC</w:t>
            </w:r>
          </w:p>
        </w:tc>
        <w:tc>
          <w:tcPr>
            <w:tcW w:w="2126" w:type="dxa"/>
            <w:tcBorders>
              <w:top w:val="nil"/>
              <w:left w:val="nil"/>
              <w:bottom w:val="single" w:sz="4" w:space="0" w:color="auto"/>
              <w:right w:val="single" w:sz="4" w:space="0" w:color="auto"/>
            </w:tcBorders>
            <w:shd w:val="clear" w:color="auto" w:fill="auto"/>
            <w:noWrap/>
            <w:vAlign w:val="center"/>
            <w:hideMark/>
          </w:tcPr>
          <w:p w14:paraId="6F4A74A7"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5,164</w:t>
            </w:r>
          </w:p>
        </w:tc>
        <w:tc>
          <w:tcPr>
            <w:tcW w:w="2268" w:type="dxa"/>
            <w:tcBorders>
              <w:top w:val="nil"/>
              <w:left w:val="nil"/>
              <w:bottom w:val="single" w:sz="4" w:space="0" w:color="auto"/>
              <w:right w:val="single" w:sz="4" w:space="0" w:color="auto"/>
            </w:tcBorders>
            <w:shd w:val="clear" w:color="auto" w:fill="auto"/>
            <w:noWrap/>
            <w:vAlign w:val="center"/>
            <w:hideMark/>
          </w:tcPr>
          <w:p w14:paraId="166A25EE"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3.97</w:t>
            </w:r>
          </w:p>
        </w:tc>
        <w:tc>
          <w:tcPr>
            <w:tcW w:w="2552" w:type="dxa"/>
            <w:tcBorders>
              <w:top w:val="nil"/>
              <w:left w:val="nil"/>
              <w:bottom w:val="single" w:sz="4" w:space="0" w:color="auto"/>
              <w:right w:val="single" w:sz="4" w:space="0" w:color="auto"/>
            </w:tcBorders>
            <w:shd w:val="clear" w:color="auto" w:fill="auto"/>
            <w:noWrap/>
            <w:vAlign w:val="center"/>
            <w:hideMark/>
          </w:tcPr>
          <w:p w14:paraId="013DC74C" w14:textId="77777777" w:rsidR="00941E9B" w:rsidRPr="00930E14" w:rsidRDefault="00941E9B" w:rsidP="003365B3">
            <w:pPr>
              <w:spacing w:after="0" w:line="240" w:lineRule="auto"/>
              <w:jc w:val="center"/>
              <w:rPr>
                <w:rFonts w:ascii="Calibri" w:eastAsia="Times New Roman" w:hAnsi="Calibri" w:cs="Times New Roman"/>
                <w:color w:val="000000"/>
                <w:lang w:eastAsia="en-GB"/>
              </w:rPr>
            </w:pPr>
            <w:r w:rsidRPr="00930E14">
              <w:rPr>
                <w:rFonts w:ascii="Calibri" w:eastAsia="Times New Roman" w:hAnsi="Calibri" w:cs="Times New Roman"/>
                <w:color w:val="000000"/>
                <w:lang w:eastAsia="en-GB"/>
              </w:rPr>
              <w:t> </w:t>
            </w:r>
          </w:p>
        </w:tc>
      </w:tr>
      <w:tr w:rsidR="00941E9B" w:rsidRPr="00930E14" w14:paraId="34069CF4" w14:textId="77777777" w:rsidTr="003365B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6250678" w14:textId="77777777" w:rsidR="00941E9B" w:rsidRPr="00930E14" w:rsidRDefault="00941E9B" w:rsidP="003365B3">
            <w:pPr>
              <w:spacing w:after="0" w:line="240" w:lineRule="auto"/>
              <w:rPr>
                <w:rFonts w:ascii="Calibri" w:eastAsia="Times New Roman" w:hAnsi="Calibri" w:cs="Times New Roman"/>
                <w:b/>
                <w:bCs/>
                <w:color w:val="000000"/>
                <w:lang w:eastAsia="en-GB"/>
              </w:rPr>
            </w:pPr>
            <w:r w:rsidRPr="00930E14">
              <w:rPr>
                <w:rFonts w:ascii="Calibri" w:eastAsia="Times New Roman" w:hAnsi="Calibri" w:cs="Times New Roman"/>
                <w:b/>
                <w:bCs/>
                <w:color w:val="000000"/>
                <w:lang w:eastAsia="en-GB"/>
              </w:rPr>
              <w:t>Total</w:t>
            </w:r>
          </w:p>
        </w:tc>
        <w:tc>
          <w:tcPr>
            <w:tcW w:w="2126" w:type="dxa"/>
            <w:tcBorders>
              <w:top w:val="nil"/>
              <w:left w:val="nil"/>
              <w:bottom w:val="single" w:sz="4" w:space="0" w:color="auto"/>
              <w:right w:val="single" w:sz="4" w:space="0" w:color="auto"/>
            </w:tcBorders>
            <w:shd w:val="clear" w:color="auto" w:fill="auto"/>
            <w:noWrap/>
            <w:vAlign w:val="center"/>
            <w:hideMark/>
          </w:tcPr>
          <w:p w14:paraId="2575DD12" w14:textId="77777777" w:rsidR="00941E9B" w:rsidRPr="00930E14" w:rsidRDefault="00941E9B" w:rsidP="003365B3">
            <w:pPr>
              <w:spacing w:after="0" w:line="240" w:lineRule="auto"/>
              <w:jc w:val="center"/>
              <w:rPr>
                <w:rFonts w:ascii="Calibri" w:eastAsia="Times New Roman" w:hAnsi="Calibri" w:cs="Times New Roman"/>
                <w:b/>
                <w:bCs/>
                <w:color w:val="000000"/>
                <w:lang w:eastAsia="en-GB"/>
              </w:rPr>
            </w:pPr>
            <w:r w:rsidRPr="00930E14">
              <w:rPr>
                <w:rFonts w:ascii="Calibri" w:eastAsia="Times New Roman" w:hAnsi="Calibri" w:cs="Times New Roman"/>
                <w:b/>
                <w:bCs/>
                <w:color w:val="000000"/>
                <w:lang w:eastAsia="en-GB"/>
              </w:rPr>
              <w:t>31,979</w:t>
            </w:r>
          </w:p>
        </w:tc>
        <w:tc>
          <w:tcPr>
            <w:tcW w:w="2268" w:type="dxa"/>
            <w:tcBorders>
              <w:top w:val="nil"/>
              <w:left w:val="nil"/>
              <w:bottom w:val="single" w:sz="4" w:space="0" w:color="auto"/>
              <w:right w:val="single" w:sz="4" w:space="0" w:color="auto"/>
            </w:tcBorders>
            <w:shd w:val="clear" w:color="auto" w:fill="auto"/>
            <w:noWrap/>
            <w:vAlign w:val="center"/>
            <w:hideMark/>
          </w:tcPr>
          <w:p w14:paraId="35AECD36" w14:textId="77777777" w:rsidR="00941E9B" w:rsidRPr="00930E14" w:rsidRDefault="00941E9B" w:rsidP="003365B3">
            <w:pPr>
              <w:spacing w:after="0" w:line="240" w:lineRule="auto"/>
              <w:jc w:val="center"/>
              <w:rPr>
                <w:rFonts w:ascii="Calibri" w:eastAsia="Times New Roman" w:hAnsi="Calibri" w:cs="Times New Roman"/>
                <w:b/>
                <w:bCs/>
                <w:color w:val="000000"/>
                <w:lang w:eastAsia="en-GB"/>
              </w:rPr>
            </w:pPr>
            <w:r w:rsidRPr="00930E14">
              <w:rPr>
                <w:rFonts w:ascii="Calibri" w:eastAsia="Times New Roman" w:hAnsi="Calibri" w:cs="Times New Roman"/>
                <w:b/>
                <w:bCs/>
                <w:color w:val="000000"/>
                <w:lang w:eastAsia="en-GB"/>
              </w:rPr>
              <w:t>18.54</w:t>
            </w:r>
          </w:p>
        </w:tc>
        <w:tc>
          <w:tcPr>
            <w:tcW w:w="2552" w:type="dxa"/>
            <w:tcBorders>
              <w:top w:val="nil"/>
              <w:left w:val="nil"/>
              <w:bottom w:val="single" w:sz="4" w:space="0" w:color="auto"/>
              <w:right w:val="single" w:sz="4" w:space="0" w:color="auto"/>
            </w:tcBorders>
            <w:shd w:val="clear" w:color="auto" w:fill="auto"/>
            <w:noWrap/>
            <w:vAlign w:val="center"/>
            <w:hideMark/>
          </w:tcPr>
          <w:p w14:paraId="0E036A03" w14:textId="77777777" w:rsidR="00941E9B" w:rsidRPr="00930E14" w:rsidRDefault="00941E9B" w:rsidP="003365B3">
            <w:pPr>
              <w:spacing w:after="0" w:line="240" w:lineRule="auto"/>
              <w:jc w:val="center"/>
              <w:rPr>
                <w:rFonts w:ascii="Calibri" w:eastAsia="Times New Roman" w:hAnsi="Calibri" w:cs="Times New Roman"/>
                <w:b/>
                <w:bCs/>
                <w:color w:val="000000"/>
                <w:lang w:eastAsia="en-GB"/>
              </w:rPr>
            </w:pPr>
            <w:r w:rsidRPr="00930E14">
              <w:rPr>
                <w:rFonts w:ascii="Calibri" w:eastAsia="Times New Roman" w:hAnsi="Calibri" w:cs="Times New Roman"/>
                <w:b/>
                <w:bCs/>
                <w:color w:val="000000"/>
                <w:lang w:eastAsia="en-GB"/>
              </w:rPr>
              <w:t>8.70</w:t>
            </w:r>
          </w:p>
        </w:tc>
      </w:tr>
    </w:tbl>
    <w:p w14:paraId="0528E024" w14:textId="77777777" w:rsidR="00941E9B" w:rsidRDefault="00941E9B" w:rsidP="00346A27">
      <w:pPr>
        <w:spacing w:after="0" w:line="240" w:lineRule="auto"/>
      </w:pPr>
    </w:p>
    <w:p w14:paraId="73677B5C" w14:textId="1C248F4D" w:rsidR="00944001" w:rsidRDefault="0059112C" w:rsidP="001E6764">
      <w:pPr>
        <w:spacing w:after="0" w:line="240" w:lineRule="auto"/>
      </w:pPr>
      <w:r>
        <w:t xml:space="preserve">We then need to </w:t>
      </w:r>
      <w:r w:rsidR="009D38B3">
        <w:t xml:space="preserve">allow for any </w:t>
      </w:r>
      <w:r w:rsidR="00CA7926">
        <w:t xml:space="preserve">forecasted </w:t>
      </w:r>
      <w:r w:rsidR="009D38B3">
        <w:t>increase in t</w:t>
      </w:r>
      <w:r w:rsidR="00D60192">
        <w:t xml:space="preserve">he number of </w:t>
      </w:r>
      <w:r w:rsidR="00F47CF8">
        <w:t>GPs</w:t>
      </w:r>
      <w:r w:rsidR="00D60192">
        <w:t xml:space="preserve"> </w:t>
      </w:r>
      <w:r w:rsidR="00407F8B">
        <w:t>up until say 2031</w:t>
      </w:r>
      <w:r w:rsidR="0016510B">
        <w:t>.</w:t>
      </w:r>
      <w:r w:rsidR="00944001">
        <w:t xml:space="preserve"> This is important as it is a key driver i</w:t>
      </w:r>
      <w:r w:rsidR="00930E14">
        <w:t xml:space="preserve">n considering the </w:t>
      </w:r>
      <w:r w:rsidR="00944001">
        <w:t xml:space="preserve">clinical </w:t>
      </w:r>
      <w:r w:rsidR="00930E14">
        <w:t xml:space="preserve">space provision for the proposed </w:t>
      </w:r>
      <w:r w:rsidR="004508E4">
        <w:t>c</w:t>
      </w:r>
      <w:r w:rsidR="00930E14">
        <w:t xml:space="preserve">ommunity </w:t>
      </w:r>
      <w:r w:rsidR="004508E4">
        <w:t>health h</w:t>
      </w:r>
      <w:r w:rsidR="00930E14">
        <w:t>ub</w:t>
      </w:r>
      <w:r w:rsidR="00944001">
        <w:t>.</w:t>
      </w:r>
    </w:p>
    <w:p w14:paraId="7079AA70" w14:textId="5421BFAB" w:rsidR="00930E14" w:rsidRPr="00944001" w:rsidRDefault="000D0422" w:rsidP="001E6764">
      <w:pPr>
        <w:spacing w:after="0" w:line="240" w:lineRule="auto"/>
      </w:pPr>
      <w:r>
        <w:br/>
        <w:t>I</w:t>
      </w:r>
      <w:r w:rsidR="00930E14">
        <w:t>t is useful to examine both the proposed population growth and the</w:t>
      </w:r>
      <w:r w:rsidR="00944001">
        <w:t>n the</w:t>
      </w:r>
      <w:r w:rsidR="00930E14">
        <w:t xml:space="preserve"> proposed increase in GP provision</w:t>
      </w:r>
      <w:r w:rsidR="00944001">
        <w:t xml:space="preserve"> resulting from that population increase</w:t>
      </w:r>
      <w:r w:rsidR="00930E14">
        <w:t xml:space="preserve">. </w:t>
      </w:r>
    </w:p>
    <w:p w14:paraId="299C2B97" w14:textId="77777777" w:rsidR="0076241A" w:rsidRDefault="0076241A" w:rsidP="00513A8F">
      <w:pPr>
        <w:tabs>
          <w:tab w:val="num" w:pos="720"/>
        </w:tabs>
        <w:spacing w:after="0" w:line="240" w:lineRule="auto"/>
      </w:pPr>
    </w:p>
    <w:p w14:paraId="7DBBDE16" w14:textId="3A876EAA" w:rsidR="006F2D1F" w:rsidRDefault="00892C0C" w:rsidP="00513A8F">
      <w:pPr>
        <w:tabs>
          <w:tab w:val="num" w:pos="720"/>
        </w:tabs>
        <w:spacing w:after="0" w:line="240" w:lineRule="auto"/>
      </w:pPr>
      <w:r w:rsidRPr="00892C0C">
        <w:t>The Ascot plan</w:t>
      </w:r>
      <w:r w:rsidR="002D2E9F">
        <w:t xml:space="preserve"> (section 4, </w:t>
      </w:r>
      <w:r w:rsidR="006F2D1F" w:rsidRPr="006F2D1F">
        <w:t>page 6)</w:t>
      </w:r>
      <w:r w:rsidRPr="00892C0C">
        <w:t xml:space="preserve"> </w:t>
      </w:r>
      <w:r w:rsidR="002D2E9F">
        <w:t>predicts</w:t>
      </w:r>
      <w:r w:rsidRPr="00892C0C">
        <w:t xml:space="preserve"> a total </w:t>
      </w:r>
      <w:r w:rsidR="005F26B2">
        <w:t xml:space="preserve">population </w:t>
      </w:r>
      <w:r w:rsidRPr="00892C0C">
        <w:t xml:space="preserve">of 27,830 </w:t>
      </w:r>
      <w:r w:rsidR="00947DB1">
        <w:t xml:space="preserve">for </w:t>
      </w:r>
      <w:r w:rsidRPr="00892C0C">
        <w:t xml:space="preserve">the four wards </w:t>
      </w:r>
      <w:r>
        <w:t>(Ascot, Ascot &amp; Cheapside, Sunningdale and Sunninghill &amp; South Ascot).</w:t>
      </w:r>
    </w:p>
    <w:p w14:paraId="6598BD66" w14:textId="77777777" w:rsidR="006F2D1F" w:rsidRDefault="006F2D1F" w:rsidP="00513A8F">
      <w:pPr>
        <w:tabs>
          <w:tab w:val="num" w:pos="720"/>
        </w:tabs>
        <w:spacing w:after="0" w:line="240" w:lineRule="auto"/>
      </w:pPr>
    </w:p>
    <w:p w14:paraId="78138A9D" w14:textId="65AC1F75" w:rsidR="00930E14" w:rsidRDefault="00930E14" w:rsidP="00513A8F">
      <w:pPr>
        <w:tabs>
          <w:tab w:val="num" w:pos="720"/>
        </w:tabs>
        <w:spacing w:after="0" w:line="240" w:lineRule="auto"/>
      </w:pPr>
      <w:r>
        <w:t xml:space="preserve">The </w:t>
      </w:r>
      <w:r w:rsidR="006F2D1F">
        <w:t>projected registered patient population for 2031 (Ascot Plan</w:t>
      </w:r>
      <w:r w:rsidR="00947DB1">
        <w:t>,</w:t>
      </w:r>
      <w:r w:rsidR="006F2D1F">
        <w:t xml:space="preserve"> </w:t>
      </w:r>
      <w:r w:rsidR="002D2E9F">
        <w:t>section 7,</w:t>
      </w:r>
      <w:r w:rsidR="005E5C29">
        <w:t xml:space="preserve"> </w:t>
      </w:r>
      <w:r w:rsidR="006F2D1F">
        <w:t xml:space="preserve">page 14) shows a higher registered patient list number </w:t>
      </w:r>
      <w:r w:rsidR="002D2E9F">
        <w:t>of</w:t>
      </w:r>
      <w:r w:rsidR="006F2D1F">
        <w:t xml:space="preserve"> 35,398</w:t>
      </w:r>
      <w:r w:rsidR="00947DB1">
        <w:t xml:space="preserve"> for the same four wards</w:t>
      </w:r>
      <w:r w:rsidR="006F2D1F">
        <w:t>.</w:t>
      </w:r>
      <w:r w:rsidR="00947DB1">
        <w:t xml:space="preserve"> </w:t>
      </w:r>
      <w:r w:rsidR="0018413E">
        <w:t xml:space="preserve">This is shown in more detail </w:t>
      </w:r>
      <w:r w:rsidR="00947DB1">
        <w:t>i</w:t>
      </w:r>
      <w:r w:rsidR="0018413E">
        <w:t xml:space="preserve">n the chart below. The total registered patient population for Kings Corner and Magnolia House is </w:t>
      </w:r>
      <w:r w:rsidR="00947DB1">
        <w:t xml:space="preserve">forecasted to be </w:t>
      </w:r>
      <w:r w:rsidR="0018413E">
        <w:t>18,696 patients</w:t>
      </w:r>
      <w:r w:rsidR="00947DB1">
        <w:t xml:space="preserve"> in 2031.</w:t>
      </w:r>
    </w:p>
    <w:p w14:paraId="173FBA1A" w14:textId="77777777" w:rsidR="0016510B" w:rsidRDefault="0016510B" w:rsidP="00513A8F">
      <w:pPr>
        <w:tabs>
          <w:tab w:val="num" w:pos="720"/>
        </w:tabs>
        <w:spacing w:after="0" w:line="240" w:lineRule="auto"/>
      </w:pPr>
    </w:p>
    <w:tbl>
      <w:tblPr>
        <w:tblW w:w="5665" w:type="dxa"/>
        <w:tblLook w:val="04A0" w:firstRow="1" w:lastRow="0" w:firstColumn="1" w:lastColumn="0" w:noHBand="0" w:noVBand="1"/>
      </w:tblPr>
      <w:tblGrid>
        <w:gridCol w:w="2080"/>
        <w:gridCol w:w="3585"/>
      </w:tblGrid>
      <w:tr w:rsidR="0018413E" w:rsidRPr="0018413E" w14:paraId="7ACDC522" w14:textId="77777777" w:rsidTr="00B17792">
        <w:trPr>
          <w:trHeight w:val="81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A8953" w14:textId="77777777" w:rsidR="0018413E" w:rsidRPr="0018413E" w:rsidRDefault="0018413E" w:rsidP="0018413E">
            <w:pPr>
              <w:spacing w:after="0" w:line="240" w:lineRule="auto"/>
              <w:jc w:val="center"/>
              <w:rPr>
                <w:rFonts w:ascii="Calibri" w:eastAsia="Times New Roman" w:hAnsi="Calibri" w:cs="Times New Roman"/>
                <w:b/>
                <w:bCs/>
                <w:color w:val="000000"/>
                <w:sz w:val="24"/>
                <w:szCs w:val="24"/>
                <w:lang w:eastAsia="en-GB"/>
              </w:rPr>
            </w:pPr>
            <w:r w:rsidRPr="0018413E">
              <w:rPr>
                <w:rFonts w:ascii="Calibri" w:eastAsia="Times New Roman" w:hAnsi="Calibri" w:cs="Times New Roman"/>
                <w:b/>
                <w:bCs/>
                <w:color w:val="000000"/>
                <w:sz w:val="24"/>
                <w:szCs w:val="24"/>
                <w:lang w:eastAsia="en-GB"/>
              </w:rPr>
              <w:t>GP Practice</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14:paraId="40D30759" w14:textId="0DBD07B5" w:rsidR="0018413E" w:rsidRPr="0018413E" w:rsidRDefault="0018413E" w:rsidP="0018413E">
            <w:pPr>
              <w:spacing w:after="0" w:line="240" w:lineRule="auto"/>
              <w:jc w:val="center"/>
              <w:rPr>
                <w:rFonts w:ascii="Calibri" w:eastAsia="Times New Roman" w:hAnsi="Calibri" w:cs="Times New Roman"/>
                <w:b/>
                <w:bCs/>
                <w:color w:val="000000"/>
                <w:sz w:val="24"/>
                <w:szCs w:val="24"/>
                <w:lang w:eastAsia="en-GB"/>
              </w:rPr>
            </w:pPr>
            <w:r w:rsidRPr="0018413E">
              <w:rPr>
                <w:rFonts w:ascii="Calibri" w:eastAsia="Times New Roman" w:hAnsi="Calibri" w:cs="Times New Roman"/>
                <w:b/>
                <w:bCs/>
                <w:color w:val="000000"/>
                <w:sz w:val="24"/>
                <w:szCs w:val="24"/>
                <w:lang w:eastAsia="en-GB"/>
              </w:rPr>
              <w:t>Projected registered patient list</w:t>
            </w:r>
            <w:r w:rsidR="00B17792">
              <w:rPr>
                <w:rFonts w:ascii="Calibri" w:eastAsia="Times New Roman" w:hAnsi="Calibri" w:cs="Times New Roman"/>
                <w:b/>
                <w:bCs/>
                <w:color w:val="000000"/>
                <w:sz w:val="24"/>
                <w:szCs w:val="24"/>
                <w:lang w:eastAsia="en-GB"/>
              </w:rPr>
              <w:t xml:space="preserve"> </w:t>
            </w:r>
            <w:r w:rsidRPr="0018413E">
              <w:rPr>
                <w:rFonts w:ascii="Calibri" w:eastAsia="Times New Roman" w:hAnsi="Calibri" w:cs="Times New Roman"/>
                <w:b/>
                <w:bCs/>
                <w:color w:val="000000"/>
                <w:sz w:val="24"/>
                <w:szCs w:val="24"/>
                <w:lang w:eastAsia="en-GB"/>
              </w:rPr>
              <w:t>(2031) (Ascot Plan page 14)</w:t>
            </w:r>
          </w:p>
        </w:tc>
      </w:tr>
      <w:tr w:rsidR="0018413E" w:rsidRPr="0018413E" w14:paraId="0258CE4D" w14:textId="77777777" w:rsidTr="00B17792">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310A775" w14:textId="77777777" w:rsidR="0018413E" w:rsidRPr="0018413E" w:rsidRDefault="0018413E" w:rsidP="0018413E">
            <w:pPr>
              <w:spacing w:after="0" w:line="240" w:lineRule="auto"/>
              <w:rPr>
                <w:rFonts w:ascii="Calibri" w:eastAsia="Times New Roman" w:hAnsi="Calibri" w:cs="Times New Roman"/>
                <w:color w:val="000000"/>
                <w:sz w:val="24"/>
                <w:szCs w:val="24"/>
                <w:lang w:eastAsia="en-GB"/>
              </w:rPr>
            </w:pPr>
            <w:r w:rsidRPr="0018413E">
              <w:rPr>
                <w:rFonts w:ascii="Calibri" w:eastAsia="Times New Roman" w:hAnsi="Calibri" w:cs="Times New Roman"/>
                <w:color w:val="000000"/>
                <w:sz w:val="24"/>
                <w:szCs w:val="24"/>
                <w:lang w:eastAsia="en-GB"/>
              </w:rPr>
              <w:t>Kings Corner</w:t>
            </w:r>
          </w:p>
        </w:tc>
        <w:tc>
          <w:tcPr>
            <w:tcW w:w="3585" w:type="dxa"/>
            <w:tcBorders>
              <w:top w:val="nil"/>
              <w:left w:val="nil"/>
              <w:bottom w:val="single" w:sz="4" w:space="0" w:color="auto"/>
              <w:right w:val="single" w:sz="4" w:space="0" w:color="auto"/>
            </w:tcBorders>
            <w:shd w:val="clear" w:color="auto" w:fill="auto"/>
            <w:noWrap/>
            <w:vAlign w:val="center"/>
            <w:hideMark/>
          </w:tcPr>
          <w:p w14:paraId="70F501F3" w14:textId="77777777" w:rsidR="0018413E" w:rsidRPr="0018413E" w:rsidRDefault="0018413E" w:rsidP="0018413E">
            <w:pPr>
              <w:spacing w:after="0" w:line="240" w:lineRule="auto"/>
              <w:jc w:val="center"/>
              <w:rPr>
                <w:rFonts w:ascii="Calibri" w:eastAsia="Times New Roman" w:hAnsi="Calibri" w:cs="Times New Roman"/>
                <w:color w:val="000000"/>
                <w:sz w:val="24"/>
                <w:szCs w:val="24"/>
                <w:lang w:eastAsia="en-GB"/>
              </w:rPr>
            </w:pPr>
            <w:r w:rsidRPr="0018413E">
              <w:rPr>
                <w:rFonts w:ascii="Calibri" w:eastAsia="Times New Roman" w:hAnsi="Calibri" w:cs="Times New Roman"/>
                <w:color w:val="000000"/>
                <w:sz w:val="24"/>
                <w:szCs w:val="24"/>
                <w:lang w:eastAsia="en-GB"/>
              </w:rPr>
              <w:t>8,540</w:t>
            </w:r>
          </w:p>
        </w:tc>
      </w:tr>
      <w:tr w:rsidR="0018413E" w:rsidRPr="0018413E" w14:paraId="74CFA63C" w14:textId="77777777" w:rsidTr="00B17792">
        <w:trPr>
          <w:trHeight w:val="372"/>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3EF1FBD" w14:textId="77777777" w:rsidR="0018413E" w:rsidRPr="0018413E" w:rsidRDefault="0018413E" w:rsidP="0018413E">
            <w:pPr>
              <w:spacing w:after="0" w:line="240" w:lineRule="auto"/>
              <w:rPr>
                <w:rFonts w:ascii="Calibri" w:eastAsia="Times New Roman" w:hAnsi="Calibri" w:cs="Times New Roman"/>
                <w:color w:val="000000"/>
                <w:sz w:val="24"/>
                <w:szCs w:val="24"/>
                <w:lang w:eastAsia="en-GB"/>
              </w:rPr>
            </w:pPr>
            <w:r w:rsidRPr="0018413E">
              <w:rPr>
                <w:rFonts w:ascii="Calibri" w:eastAsia="Times New Roman" w:hAnsi="Calibri" w:cs="Times New Roman"/>
                <w:color w:val="000000"/>
                <w:sz w:val="24"/>
                <w:szCs w:val="24"/>
                <w:lang w:eastAsia="en-GB"/>
              </w:rPr>
              <w:t>Magnolia House</w:t>
            </w:r>
          </w:p>
        </w:tc>
        <w:tc>
          <w:tcPr>
            <w:tcW w:w="3585" w:type="dxa"/>
            <w:tcBorders>
              <w:top w:val="nil"/>
              <w:left w:val="nil"/>
              <w:bottom w:val="single" w:sz="4" w:space="0" w:color="auto"/>
              <w:right w:val="single" w:sz="4" w:space="0" w:color="auto"/>
            </w:tcBorders>
            <w:shd w:val="clear" w:color="auto" w:fill="auto"/>
            <w:noWrap/>
            <w:vAlign w:val="center"/>
            <w:hideMark/>
          </w:tcPr>
          <w:p w14:paraId="27A15F3E" w14:textId="77777777" w:rsidR="0018413E" w:rsidRPr="0018413E" w:rsidRDefault="0018413E" w:rsidP="0018413E">
            <w:pPr>
              <w:spacing w:after="0" w:line="240" w:lineRule="auto"/>
              <w:jc w:val="center"/>
              <w:rPr>
                <w:rFonts w:ascii="Calibri" w:eastAsia="Times New Roman" w:hAnsi="Calibri" w:cs="Times New Roman"/>
                <w:color w:val="000000"/>
                <w:sz w:val="24"/>
                <w:szCs w:val="24"/>
                <w:lang w:eastAsia="en-GB"/>
              </w:rPr>
            </w:pPr>
            <w:r w:rsidRPr="0018413E">
              <w:rPr>
                <w:rFonts w:ascii="Calibri" w:eastAsia="Times New Roman" w:hAnsi="Calibri" w:cs="Times New Roman"/>
                <w:color w:val="000000"/>
                <w:sz w:val="24"/>
                <w:szCs w:val="24"/>
                <w:lang w:eastAsia="en-GB"/>
              </w:rPr>
              <w:t>10,156</w:t>
            </w:r>
          </w:p>
        </w:tc>
      </w:tr>
      <w:tr w:rsidR="0018413E" w:rsidRPr="0018413E" w14:paraId="752D553E" w14:textId="77777777" w:rsidTr="00B17792">
        <w:trPr>
          <w:trHeight w:val="407"/>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D294E65" w14:textId="77777777" w:rsidR="0018413E" w:rsidRPr="0018413E" w:rsidRDefault="0018413E" w:rsidP="0018413E">
            <w:pPr>
              <w:spacing w:after="0" w:line="240" w:lineRule="auto"/>
              <w:rPr>
                <w:rFonts w:ascii="Calibri" w:eastAsia="Times New Roman" w:hAnsi="Calibri" w:cs="Times New Roman"/>
                <w:color w:val="000000"/>
                <w:sz w:val="24"/>
                <w:szCs w:val="24"/>
                <w:lang w:eastAsia="en-GB"/>
              </w:rPr>
            </w:pPr>
            <w:r w:rsidRPr="0018413E">
              <w:rPr>
                <w:rFonts w:ascii="Calibri" w:eastAsia="Times New Roman" w:hAnsi="Calibri" w:cs="Times New Roman"/>
                <w:color w:val="000000"/>
                <w:sz w:val="24"/>
                <w:szCs w:val="24"/>
                <w:lang w:eastAsia="en-GB"/>
              </w:rPr>
              <w:t>Green Meadows</w:t>
            </w:r>
          </w:p>
        </w:tc>
        <w:tc>
          <w:tcPr>
            <w:tcW w:w="3585" w:type="dxa"/>
            <w:tcBorders>
              <w:top w:val="nil"/>
              <w:left w:val="nil"/>
              <w:bottom w:val="single" w:sz="4" w:space="0" w:color="auto"/>
              <w:right w:val="single" w:sz="4" w:space="0" w:color="auto"/>
            </w:tcBorders>
            <w:shd w:val="clear" w:color="auto" w:fill="auto"/>
            <w:noWrap/>
            <w:vAlign w:val="center"/>
            <w:hideMark/>
          </w:tcPr>
          <w:p w14:paraId="14B1699C" w14:textId="77777777" w:rsidR="0018413E" w:rsidRPr="0018413E" w:rsidRDefault="0018413E" w:rsidP="0018413E">
            <w:pPr>
              <w:spacing w:after="0" w:line="240" w:lineRule="auto"/>
              <w:jc w:val="center"/>
              <w:rPr>
                <w:rFonts w:ascii="Calibri" w:eastAsia="Times New Roman" w:hAnsi="Calibri" w:cs="Times New Roman"/>
                <w:color w:val="000000"/>
                <w:sz w:val="24"/>
                <w:szCs w:val="24"/>
                <w:lang w:eastAsia="en-GB"/>
              </w:rPr>
            </w:pPr>
            <w:r w:rsidRPr="0018413E">
              <w:rPr>
                <w:rFonts w:ascii="Calibri" w:eastAsia="Times New Roman" w:hAnsi="Calibri" w:cs="Times New Roman"/>
                <w:color w:val="000000"/>
                <w:sz w:val="24"/>
                <w:szCs w:val="24"/>
                <w:lang w:eastAsia="en-GB"/>
              </w:rPr>
              <w:t>10,986</w:t>
            </w:r>
          </w:p>
        </w:tc>
      </w:tr>
      <w:tr w:rsidR="0018413E" w:rsidRPr="0018413E" w14:paraId="2BD36541" w14:textId="77777777" w:rsidTr="00B17792">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72C27FA" w14:textId="77777777" w:rsidR="0018413E" w:rsidRPr="0018413E" w:rsidRDefault="0018413E" w:rsidP="0018413E">
            <w:pPr>
              <w:spacing w:after="0" w:line="240" w:lineRule="auto"/>
              <w:rPr>
                <w:rFonts w:ascii="Calibri" w:eastAsia="Times New Roman" w:hAnsi="Calibri" w:cs="Times New Roman"/>
                <w:color w:val="000000"/>
                <w:sz w:val="24"/>
                <w:szCs w:val="24"/>
                <w:lang w:eastAsia="en-GB"/>
              </w:rPr>
            </w:pPr>
            <w:r w:rsidRPr="0018413E">
              <w:rPr>
                <w:rFonts w:ascii="Calibri" w:eastAsia="Times New Roman" w:hAnsi="Calibri" w:cs="Times New Roman"/>
                <w:color w:val="000000"/>
                <w:sz w:val="24"/>
                <w:szCs w:val="24"/>
                <w:lang w:eastAsia="en-GB"/>
              </w:rPr>
              <w:t>Ascot MC</w:t>
            </w:r>
          </w:p>
        </w:tc>
        <w:tc>
          <w:tcPr>
            <w:tcW w:w="3585" w:type="dxa"/>
            <w:tcBorders>
              <w:top w:val="nil"/>
              <w:left w:val="nil"/>
              <w:bottom w:val="single" w:sz="4" w:space="0" w:color="auto"/>
              <w:right w:val="single" w:sz="4" w:space="0" w:color="auto"/>
            </w:tcBorders>
            <w:shd w:val="clear" w:color="auto" w:fill="auto"/>
            <w:noWrap/>
            <w:vAlign w:val="center"/>
            <w:hideMark/>
          </w:tcPr>
          <w:p w14:paraId="240696C9" w14:textId="77777777" w:rsidR="0018413E" w:rsidRPr="0018413E" w:rsidRDefault="0018413E" w:rsidP="0018413E">
            <w:pPr>
              <w:spacing w:after="0" w:line="240" w:lineRule="auto"/>
              <w:jc w:val="center"/>
              <w:rPr>
                <w:rFonts w:ascii="Calibri" w:eastAsia="Times New Roman" w:hAnsi="Calibri" w:cs="Times New Roman"/>
                <w:color w:val="000000"/>
                <w:sz w:val="24"/>
                <w:szCs w:val="24"/>
                <w:lang w:eastAsia="en-GB"/>
              </w:rPr>
            </w:pPr>
            <w:r w:rsidRPr="0018413E">
              <w:rPr>
                <w:rFonts w:ascii="Calibri" w:eastAsia="Times New Roman" w:hAnsi="Calibri" w:cs="Times New Roman"/>
                <w:color w:val="000000"/>
                <w:sz w:val="24"/>
                <w:szCs w:val="24"/>
                <w:lang w:eastAsia="en-GB"/>
              </w:rPr>
              <w:t>5,716</w:t>
            </w:r>
          </w:p>
        </w:tc>
      </w:tr>
      <w:tr w:rsidR="0018413E" w:rsidRPr="0018413E" w14:paraId="2670CE40" w14:textId="77777777" w:rsidTr="00B17792">
        <w:trPr>
          <w:trHeight w:val="247"/>
        </w:trPr>
        <w:tc>
          <w:tcPr>
            <w:tcW w:w="2080" w:type="dxa"/>
            <w:tcBorders>
              <w:top w:val="nil"/>
              <w:left w:val="single" w:sz="4" w:space="0" w:color="auto"/>
              <w:bottom w:val="single" w:sz="4" w:space="0" w:color="auto"/>
              <w:right w:val="single" w:sz="4" w:space="0" w:color="auto"/>
            </w:tcBorders>
            <w:shd w:val="clear" w:color="000000" w:fill="FFFFCC"/>
            <w:vAlign w:val="center"/>
            <w:hideMark/>
          </w:tcPr>
          <w:p w14:paraId="67E025FC" w14:textId="77777777" w:rsidR="0018413E" w:rsidRPr="0018413E" w:rsidRDefault="0018413E" w:rsidP="0018413E">
            <w:pPr>
              <w:spacing w:after="0" w:line="240" w:lineRule="auto"/>
              <w:rPr>
                <w:rFonts w:ascii="Calibri" w:eastAsia="Times New Roman" w:hAnsi="Calibri" w:cs="Times New Roman"/>
                <w:b/>
                <w:bCs/>
                <w:color w:val="000000"/>
                <w:sz w:val="24"/>
                <w:szCs w:val="24"/>
                <w:lang w:eastAsia="en-GB"/>
              </w:rPr>
            </w:pPr>
            <w:r w:rsidRPr="0018413E">
              <w:rPr>
                <w:rFonts w:ascii="Calibri" w:eastAsia="Times New Roman" w:hAnsi="Calibri" w:cs="Times New Roman"/>
                <w:b/>
                <w:bCs/>
                <w:color w:val="000000"/>
                <w:sz w:val="24"/>
                <w:szCs w:val="24"/>
                <w:lang w:eastAsia="en-GB"/>
              </w:rPr>
              <w:t>Total</w:t>
            </w:r>
          </w:p>
        </w:tc>
        <w:tc>
          <w:tcPr>
            <w:tcW w:w="3585" w:type="dxa"/>
            <w:tcBorders>
              <w:top w:val="nil"/>
              <w:left w:val="nil"/>
              <w:bottom w:val="single" w:sz="4" w:space="0" w:color="auto"/>
              <w:right w:val="single" w:sz="4" w:space="0" w:color="auto"/>
            </w:tcBorders>
            <w:shd w:val="clear" w:color="000000" w:fill="FFFFCC"/>
            <w:noWrap/>
            <w:vAlign w:val="center"/>
            <w:hideMark/>
          </w:tcPr>
          <w:p w14:paraId="1D1E174E" w14:textId="77777777" w:rsidR="0018413E" w:rsidRPr="0018413E" w:rsidRDefault="0018413E" w:rsidP="0018413E">
            <w:pPr>
              <w:spacing w:after="0" w:line="240" w:lineRule="auto"/>
              <w:jc w:val="center"/>
              <w:rPr>
                <w:rFonts w:ascii="Calibri" w:eastAsia="Times New Roman" w:hAnsi="Calibri" w:cs="Times New Roman"/>
                <w:b/>
                <w:bCs/>
                <w:color w:val="000000"/>
                <w:sz w:val="24"/>
                <w:szCs w:val="24"/>
                <w:lang w:eastAsia="en-GB"/>
              </w:rPr>
            </w:pPr>
            <w:r w:rsidRPr="0018413E">
              <w:rPr>
                <w:rFonts w:ascii="Calibri" w:eastAsia="Times New Roman" w:hAnsi="Calibri" w:cs="Times New Roman"/>
                <w:b/>
                <w:bCs/>
                <w:color w:val="000000"/>
                <w:sz w:val="24"/>
                <w:szCs w:val="24"/>
                <w:lang w:eastAsia="en-GB"/>
              </w:rPr>
              <w:t>35,398</w:t>
            </w:r>
          </w:p>
        </w:tc>
      </w:tr>
    </w:tbl>
    <w:p w14:paraId="50661013" w14:textId="038B2E71" w:rsidR="0018413E" w:rsidRDefault="006F2D1F" w:rsidP="00513A8F">
      <w:pPr>
        <w:tabs>
          <w:tab w:val="num" w:pos="720"/>
        </w:tabs>
        <w:spacing w:after="0" w:line="240" w:lineRule="auto"/>
      </w:pPr>
      <w:r>
        <w:lastRenderedPageBreak/>
        <w:t xml:space="preserve">If we take the higher figure of registered patients for 2031 </w:t>
      </w:r>
      <w:r w:rsidR="00947DB1">
        <w:t>(</w:t>
      </w:r>
      <w:r w:rsidR="00FB3539">
        <w:t>35,398)</w:t>
      </w:r>
      <w:r w:rsidR="001C0510">
        <w:t>,</w:t>
      </w:r>
      <w:r w:rsidR="00FB3539">
        <w:t xml:space="preserve"> </w:t>
      </w:r>
      <w:r>
        <w:t>rather than the projected population number</w:t>
      </w:r>
      <w:r w:rsidR="001C0510">
        <w:t>,</w:t>
      </w:r>
      <w:r>
        <w:t xml:space="preserve"> to give us the worst case scenario </w:t>
      </w:r>
      <w:r w:rsidR="00A06602">
        <w:t xml:space="preserve">for 2031 </w:t>
      </w:r>
      <w:r>
        <w:t xml:space="preserve">we can then use </w:t>
      </w:r>
      <w:r w:rsidR="0018413E">
        <w:t>the NHS England model of 1 FTE GP for every 1,800 patients</w:t>
      </w:r>
      <w:r w:rsidR="00B17792">
        <w:t xml:space="preserve">  as used in the Ascot Plan</w:t>
      </w:r>
      <w:r w:rsidR="00A06602">
        <w:t xml:space="preserve"> (section</w:t>
      </w:r>
      <w:r w:rsidR="005E5C29">
        <w:t xml:space="preserve"> </w:t>
      </w:r>
      <w:r w:rsidR="00A06602">
        <w:t>4, page</w:t>
      </w:r>
      <w:r w:rsidR="008A2519">
        <w:t xml:space="preserve"> </w:t>
      </w:r>
      <w:r w:rsidR="00A06602">
        <w:t>7)</w:t>
      </w:r>
      <w:r w:rsidR="00B17792">
        <w:t xml:space="preserve"> </w:t>
      </w:r>
      <w:r w:rsidR="0018413E">
        <w:t xml:space="preserve"> </w:t>
      </w:r>
      <w:r>
        <w:t xml:space="preserve">to ask the following </w:t>
      </w:r>
      <w:r w:rsidR="0018413E">
        <w:t xml:space="preserve">question: </w:t>
      </w:r>
      <w:r w:rsidR="00FB3539">
        <w:rPr>
          <w:i/>
          <w:iCs/>
        </w:rPr>
        <w:t>H</w:t>
      </w:r>
      <w:r w:rsidR="0018413E" w:rsidRPr="00B17792">
        <w:rPr>
          <w:i/>
          <w:iCs/>
        </w:rPr>
        <w:t xml:space="preserve">ow many </w:t>
      </w:r>
      <w:r w:rsidR="00F47CF8">
        <w:rPr>
          <w:i/>
          <w:iCs/>
        </w:rPr>
        <w:t>GPs</w:t>
      </w:r>
      <w:r w:rsidR="0018413E" w:rsidRPr="00B17792">
        <w:rPr>
          <w:i/>
          <w:iCs/>
        </w:rPr>
        <w:t xml:space="preserve"> are required</w:t>
      </w:r>
      <w:r w:rsidR="00B17792" w:rsidRPr="00B17792">
        <w:rPr>
          <w:i/>
          <w:iCs/>
        </w:rPr>
        <w:t xml:space="preserve"> at the combined Kings Corner and Magnolia House Surgeries </w:t>
      </w:r>
      <w:r w:rsidR="0018413E" w:rsidRPr="00B17792">
        <w:rPr>
          <w:i/>
          <w:iCs/>
        </w:rPr>
        <w:t xml:space="preserve"> </w:t>
      </w:r>
      <w:r w:rsidR="00B17792" w:rsidRPr="00B17792">
        <w:rPr>
          <w:i/>
          <w:iCs/>
        </w:rPr>
        <w:t xml:space="preserve">at the new Community Health Hub </w:t>
      </w:r>
      <w:r w:rsidR="0018413E" w:rsidRPr="00B17792">
        <w:rPr>
          <w:i/>
          <w:iCs/>
        </w:rPr>
        <w:t>for these 18,696 patients?</w:t>
      </w:r>
      <w:r w:rsidR="0018413E">
        <w:t xml:space="preserve"> </w:t>
      </w:r>
      <w:r w:rsidR="00FB3539">
        <w:br/>
      </w:r>
      <w:r w:rsidR="00FB3539">
        <w:br/>
      </w:r>
      <w:r w:rsidR="0018413E">
        <w:t>The answer of 10.4</w:t>
      </w:r>
      <w:r w:rsidR="00E07959">
        <w:t xml:space="preserve"> FTE </w:t>
      </w:r>
      <w:r w:rsidR="00F47CF8">
        <w:t>GPs</w:t>
      </w:r>
      <w:r w:rsidR="00E07959">
        <w:t xml:space="preserve"> </w:t>
      </w:r>
      <w:r w:rsidR="0018413E">
        <w:t xml:space="preserve">is shown </w:t>
      </w:r>
      <w:r>
        <w:t>in the chart below</w:t>
      </w:r>
      <w:r w:rsidR="00E07959">
        <w:t>.</w:t>
      </w:r>
    </w:p>
    <w:p w14:paraId="5E990BAF" w14:textId="306226A5" w:rsidR="00E07959" w:rsidRDefault="00E07959" w:rsidP="00513A8F">
      <w:pPr>
        <w:tabs>
          <w:tab w:val="num" w:pos="720"/>
        </w:tabs>
        <w:spacing w:after="0" w:line="240" w:lineRule="auto"/>
      </w:pPr>
    </w:p>
    <w:tbl>
      <w:tblPr>
        <w:tblW w:w="9634" w:type="dxa"/>
        <w:tblLook w:val="04A0" w:firstRow="1" w:lastRow="0" w:firstColumn="1" w:lastColumn="0" w:noHBand="0" w:noVBand="1"/>
      </w:tblPr>
      <w:tblGrid>
        <w:gridCol w:w="2080"/>
        <w:gridCol w:w="2080"/>
        <w:gridCol w:w="2781"/>
        <w:gridCol w:w="2693"/>
      </w:tblGrid>
      <w:tr w:rsidR="00B17792" w:rsidRPr="00B17792" w14:paraId="71D67AD9" w14:textId="77777777" w:rsidTr="00FB3539">
        <w:trPr>
          <w:trHeight w:val="197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78F55" w14:textId="77777777" w:rsidR="00B17792" w:rsidRPr="00B17792" w:rsidRDefault="00B17792" w:rsidP="00B17792">
            <w:pPr>
              <w:spacing w:after="0" w:line="240" w:lineRule="auto"/>
              <w:jc w:val="center"/>
              <w:rPr>
                <w:rFonts w:ascii="Calibri" w:eastAsia="Times New Roman" w:hAnsi="Calibri" w:cs="Times New Roman"/>
                <w:b/>
                <w:bCs/>
                <w:color w:val="000000"/>
                <w:sz w:val="24"/>
                <w:szCs w:val="24"/>
                <w:lang w:eastAsia="en-GB"/>
              </w:rPr>
            </w:pPr>
            <w:r w:rsidRPr="00B17792">
              <w:rPr>
                <w:rFonts w:ascii="Calibri" w:eastAsia="Times New Roman" w:hAnsi="Calibri" w:cs="Times New Roman"/>
                <w:b/>
                <w:bCs/>
                <w:color w:val="000000"/>
                <w:sz w:val="24"/>
                <w:szCs w:val="24"/>
                <w:lang w:eastAsia="en-GB"/>
              </w:rPr>
              <w:t>GP Practice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D42A0DF" w14:textId="27DD63ED" w:rsidR="00B17792" w:rsidRPr="00B17792" w:rsidRDefault="00B17792" w:rsidP="00B17792">
            <w:pPr>
              <w:spacing w:after="0" w:line="240" w:lineRule="auto"/>
              <w:jc w:val="center"/>
              <w:rPr>
                <w:rFonts w:ascii="Calibri" w:eastAsia="Times New Roman" w:hAnsi="Calibri" w:cs="Times New Roman"/>
                <w:b/>
                <w:bCs/>
                <w:color w:val="000000"/>
                <w:sz w:val="24"/>
                <w:szCs w:val="24"/>
                <w:lang w:eastAsia="en-GB"/>
              </w:rPr>
            </w:pPr>
            <w:r w:rsidRPr="00B17792">
              <w:rPr>
                <w:rFonts w:ascii="Calibri" w:eastAsia="Times New Roman" w:hAnsi="Calibri" w:cs="Times New Roman"/>
                <w:b/>
                <w:bCs/>
                <w:color w:val="000000"/>
                <w:sz w:val="24"/>
                <w:szCs w:val="24"/>
                <w:lang w:eastAsia="en-GB"/>
              </w:rPr>
              <w:t>Projected registered patient list (2031) (Ascot Plan page 14)</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1022618F" w14:textId="34DAD3FA" w:rsidR="00B17792" w:rsidRPr="00B17792" w:rsidRDefault="00B17792" w:rsidP="00B17792">
            <w:pPr>
              <w:spacing w:after="0" w:line="240" w:lineRule="auto"/>
              <w:jc w:val="center"/>
              <w:rPr>
                <w:rFonts w:ascii="Calibri" w:eastAsia="Times New Roman" w:hAnsi="Calibri" w:cs="Times New Roman"/>
                <w:b/>
                <w:bCs/>
                <w:color w:val="000000"/>
                <w:sz w:val="24"/>
                <w:szCs w:val="24"/>
                <w:lang w:eastAsia="en-GB"/>
              </w:rPr>
            </w:pPr>
            <w:r w:rsidRPr="00B17792">
              <w:rPr>
                <w:rFonts w:ascii="Calibri" w:eastAsia="Times New Roman" w:hAnsi="Calibri" w:cs="Times New Roman"/>
                <w:b/>
                <w:bCs/>
                <w:color w:val="000000"/>
                <w:sz w:val="24"/>
                <w:szCs w:val="24"/>
                <w:lang w:eastAsia="en-GB"/>
              </w:rPr>
              <w:t xml:space="preserve">Number of </w:t>
            </w:r>
            <w:r w:rsidR="00F47CF8">
              <w:rPr>
                <w:rFonts w:ascii="Calibri" w:eastAsia="Times New Roman" w:hAnsi="Calibri" w:cs="Times New Roman"/>
                <w:b/>
                <w:bCs/>
                <w:color w:val="000000"/>
                <w:sz w:val="24"/>
                <w:szCs w:val="24"/>
                <w:lang w:eastAsia="en-GB"/>
              </w:rPr>
              <w:t>GPs</w:t>
            </w:r>
            <w:r w:rsidRPr="00B17792">
              <w:rPr>
                <w:rFonts w:ascii="Calibri" w:eastAsia="Times New Roman" w:hAnsi="Calibri" w:cs="Times New Roman"/>
                <w:b/>
                <w:bCs/>
                <w:color w:val="000000"/>
                <w:sz w:val="24"/>
                <w:szCs w:val="24"/>
                <w:lang w:eastAsia="en-GB"/>
              </w:rPr>
              <w:t xml:space="preserve"> based on NHS model of 1 FTE GP per 1,800 patients (Ascot Plan page 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2055690" w14:textId="6CF5764F" w:rsidR="00B17792" w:rsidRPr="00B17792" w:rsidRDefault="00B17792" w:rsidP="00B17792">
            <w:pPr>
              <w:spacing w:after="0" w:line="240" w:lineRule="auto"/>
              <w:jc w:val="center"/>
              <w:rPr>
                <w:rFonts w:ascii="Calibri" w:eastAsia="Times New Roman" w:hAnsi="Calibri" w:cs="Times New Roman"/>
                <w:b/>
                <w:bCs/>
                <w:color w:val="000000"/>
                <w:sz w:val="24"/>
                <w:szCs w:val="24"/>
                <w:lang w:eastAsia="en-GB"/>
              </w:rPr>
            </w:pPr>
            <w:r w:rsidRPr="00B17792">
              <w:rPr>
                <w:rFonts w:ascii="Calibri" w:eastAsia="Times New Roman" w:hAnsi="Calibri" w:cs="Times New Roman"/>
                <w:b/>
                <w:bCs/>
                <w:color w:val="000000"/>
                <w:sz w:val="24"/>
                <w:szCs w:val="24"/>
                <w:lang w:eastAsia="en-GB"/>
              </w:rPr>
              <w:t xml:space="preserve">Number of </w:t>
            </w:r>
            <w:r w:rsidR="00F47CF8">
              <w:rPr>
                <w:rFonts w:ascii="Calibri" w:eastAsia="Times New Roman" w:hAnsi="Calibri" w:cs="Times New Roman"/>
                <w:b/>
                <w:bCs/>
                <w:color w:val="000000"/>
                <w:sz w:val="24"/>
                <w:szCs w:val="24"/>
                <w:lang w:eastAsia="en-GB"/>
              </w:rPr>
              <w:t>GPs</w:t>
            </w:r>
            <w:r w:rsidRPr="00B17792">
              <w:rPr>
                <w:rFonts w:ascii="Calibri" w:eastAsia="Times New Roman" w:hAnsi="Calibri" w:cs="Times New Roman"/>
                <w:b/>
                <w:bCs/>
                <w:color w:val="000000"/>
                <w:sz w:val="24"/>
                <w:szCs w:val="24"/>
                <w:lang w:eastAsia="en-GB"/>
              </w:rPr>
              <w:t xml:space="preserve"> required for Magnolia House and Kings Corner based on NHS model of 1 FTE GP per 1,800 patients (Ascot Plan page 7)</w:t>
            </w:r>
          </w:p>
        </w:tc>
      </w:tr>
      <w:tr w:rsidR="00B17792" w:rsidRPr="00B17792" w14:paraId="3A35C06A" w14:textId="77777777" w:rsidTr="00FB3539">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C33BAF0" w14:textId="77777777" w:rsidR="00B17792" w:rsidRPr="00B17792" w:rsidRDefault="00B17792" w:rsidP="00B17792">
            <w:pPr>
              <w:spacing w:after="0" w:line="240" w:lineRule="auto"/>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Kings Corner</w:t>
            </w:r>
          </w:p>
        </w:tc>
        <w:tc>
          <w:tcPr>
            <w:tcW w:w="2080" w:type="dxa"/>
            <w:tcBorders>
              <w:top w:val="nil"/>
              <w:left w:val="nil"/>
              <w:bottom w:val="single" w:sz="4" w:space="0" w:color="auto"/>
              <w:right w:val="single" w:sz="4" w:space="0" w:color="auto"/>
            </w:tcBorders>
            <w:shd w:val="clear" w:color="auto" w:fill="auto"/>
            <w:noWrap/>
            <w:vAlign w:val="center"/>
            <w:hideMark/>
          </w:tcPr>
          <w:p w14:paraId="7797566F"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8,540</w:t>
            </w:r>
          </w:p>
        </w:tc>
        <w:tc>
          <w:tcPr>
            <w:tcW w:w="2781" w:type="dxa"/>
            <w:tcBorders>
              <w:top w:val="nil"/>
              <w:left w:val="nil"/>
              <w:bottom w:val="single" w:sz="4" w:space="0" w:color="auto"/>
              <w:right w:val="single" w:sz="4" w:space="0" w:color="auto"/>
            </w:tcBorders>
            <w:shd w:val="clear" w:color="auto" w:fill="auto"/>
            <w:noWrap/>
            <w:vAlign w:val="center"/>
            <w:hideMark/>
          </w:tcPr>
          <w:p w14:paraId="03DBEAF2"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4.7</w:t>
            </w:r>
          </w:p>
        </w:tc>
        <w:tc>
          <w:tcPr>
            <w:tcW w:w="2693" w:type="dxa"/>
            <w:tcBorders>
              <w:top w:val="nil"/>
              <w:left w:val="nil"/>
              <w:bottom w:val="single" w:sz="4" w:space="0" w:color="auto"/>
              <w:right w:val="single" w:sz="4" w:space="0" w:color="auto"/>
            </w:tcBorders>
            <w:shd w:val="clear" w:color="auto" w:fill="auto"/>
            <w:noWrap/>
            <w:vAlign w:val="center"/>
            <w:hideMark/>
          </w:tcPr>
          <w:p w14:paraId="26D0FAE4"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4.7</w:t>
            </w:r>
          </w:p>
        </w:tc>
      </w:tr>
      <w:tr w:rsidR="00B17792" w:rsidRPr="00B17792" w14:paraId="1F6FA61A" w14:textId="77777777" w:rsidTr="00FB3539">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B237634" w14:textId="77777777" w:rsidR="00B17792" w:rsidRPr="00B17792" w:rsidRDefault="00B17792" w:rsidP="00B17792">
            <w:pPr>
              <w:spacing w:after="0" w:line="240" w:lineRule="auto"/>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Magnolia House</w:t>
            </w:r>
          </w:p>
        </w:tc>
        <w:tc>
          <w:tcPr>
            <w:tcW w:w="2080" w:type="dxa"/>
            <w:tcBorders>
              <w:top w:val="nil"/>
              <w:left w:val="nil"/>
              <w:bottom w:val="single" w:sz="4" w:space="0" w:color="auto"/>
              <w:right w:val="single" w:sz="4" w:space="0" w:color="auto"/>
            </w:tcBorders>
            <w:shd w:val="clear" w:color="auto" w:fill="auto"/>
            <w:noWrap/>
            <w:vAlign w:val="center"/>
            <w:hideMark/>
          </w:tcPr>
          <w:p w14:paraId="5A7A7E9B"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10,156</w:t>
            </w:r>
          </w:p>
        </w:tc>
        <w:tc>
          <w:tcPr>
            <w:tcW w:w="2781" w:type="dxa"/>
            <w:tcBorders>
              <w:top w:val="nil"/>
              <w:left w:val="nil"/>
              <w:bottom w:val="single" w:sz="4" w:space="0" w:color="auto"/>
              <w:right w:val="single" w:sz="4" w:space="0" w:color="auto"/>
            </w:tcBorders>
            <w:shd w:val="clear" w:color="auto" w:fill="auto"/>
            <w:noWrap/>
            <w:vAlign w:val="center"/>
            <w:hideMark/>
          </w:tcPr>
          <w:p w14:paraId="2857F8B8"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5.6</w:t>
            </w:r>
          </w:p>
        </w:tc>
        <w:tc>
          <w:tcPr>
            <w:tcW w:w="2693" w:type="dxa"/>
            <w:tcBorders>
              <w:top w:val="nil"/>
              <w:left w:val="nil"/>
              <w:bottom w:val="single" w:sz="4" w:space="0" w:color="auto"/>
              <w:right w:val="single" w:sz="4" w:space="0" w:color="auto"/>
            </w:tcBorders>
            <w:shd w:val="clear" w:color="auto" w:fill="auto"/>
            <w:noWrap/>
            <w:vAlign w:val="center"/>
            <w:hideMark/>
          </w:tcPr>
          <w:p w14:paraId="51ED80B6"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5.6</w:t>
            </w:r>
          </w:p>
        </w:tc>
      </w:tr>
      <w:tr w:rsidR="00B17792" w:rsidRPr="00B17792" w14:paraId="0F726527" w14:textId="77777777" w:rsidTr="00FB3539">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9440113" w14:textId="77777777" w:rsidR="00B17792" w:rsidRPr="00B17792" w:rsidRDefault="00B17792" w:rsidP="00B17792">
            <w:pPr>
              <w:spacing w:after="0" w:line="240" w:lineRule="auto"/>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Green Meadows</w:t>
            </w:r>
          </w:p>
        </w:tc>
        <w:tc>
          <w:tcPr>
            <w:tcW w:w="2080" w:type="dxa"/>
            <w:tcBorders>
              <w:top w:val="nil"/>
              <w:left w:val="nil"/>
              <w:bottom w:val="single" w:sz="4" w:space="0" w:color="auto"/>
              <w:right w:val="single" w:sz="4" w:space="0" w:color="auto"/>
            </w:tcBorders>
            <w:shd w:val="clear" w:color="auto" w:fill="auto"/>
            <w:noWrap/>
            <w:vAlign w:val="center"/>
            <w:hideMark/>
          </w:tcPr>
          <w:p w14:paraId="60E9F045"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10,986</w:t>
            </w:r>
          </w:p>
        </w:tc>
        <w:tc>
          <w:tcPr>
            <w:tcW w:w="2781" w:type="dxa"/>
            <w:tcBorders>
              <w:top w:val="nil"/>
              <w:left w:val="nil"/>
              <w:bottom w:val="single" w:sz="4" w:space="0" w:color="auto"/>
              <w:right w:val="single" w:sz="4" w:space="0" w:color="auto"/>
            </w:tcBorders>
            <w:shd w:val="clear" w:color="auto" w:fill="auto"/>
            <w:noWrap/>
            <w:vAlign w:val="center"/>
            <w:hideMark/>
          </w:tcPr>
          <w:p w14:paraId="09B37404"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6.1</w:t>
            </w:r>
          </w:p>
        </w:tc>
        <w:tc>
          <w:tcPr>
            <w:tcW w:w="2693" w:type="dxa"/>
            <w:tcBorders>
              <w:top w:val="nil"/>
              <w:left w:val="nil"/>
              <w:bottom w:val="single" w:sz="4" w:space="0" w:color="auto"/>
              <w:right w:val="single" w:sz="4" w:space="0" w:color="auto"/>
            </w:tcBorders>
            <w:shd w:val="clear" w:color="auto" w:fill="auto"/>
            <w:noWrap/>
            <w:vAlign w:val="center"/>
            <w:hideMark/>
          </w:tcPr>
          <w:p w14:paraId="447674FA"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 </w:t>
            </w:r>
          </w:p>
        </w:tc>
      </w:tr>
      <w:tr w:rsidR="00B17792" w:rsidRPr="00B17792" w14:paraId="612BF7D4" w14:textId="77777777" w:rsidTr="00FB3539">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29F43D7" w14:textId="77777777" w:rsidR="00B17792" w:rsidRPr="00B17792" w:rsidRDefault="00B17792" w:rsidP="00B17792">
            <w:pPr>
              <w:spacing w:after="0" w:line="240" w:lineRule="auto"/>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Ascot MC</w:t>
            </w:r>
          </w:p>
        </w:tc>
        <w:tc>
          <w:tcPr>
            <w:tcW w:w="2080" w:type="dxa"/>
            <w:tcBorders>
              <w:top w:val="nil"/>
              <w:left w:val="nil"/>
              <w:bottom w:val="single" w:sz="4" w:space="0" w:color="auto"/>
              <w:right w:val="single" w:sz="4" w:space="0" w:color="auto"/>
            </w:tcBorders>
            <w:shd w:val="clear" w:color="auto" w:fill="auto"/>
            <w:noWrap/>
            <w:vAlign w:val="center"/>
            <w:hideMark/>
          </w:tcPr>
          <w:p w14:paraId="22FA4B33"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5,716</w:t>
            </w:r>
          </w:p>
        </w:tc>
        <w:tc>
          <w:tcPr>
            <w:tcW w:w="2781" w:type="dxa"/>
            <w:tcBorders>
              <w:top w:val="nil"/>
              <w:left w:val="nil"/>
              <w:bottom w:val="single" w:sz="4" w:space="0" w:color="auto"/>
              <w:right w:val="single" w:sz="4" w:space="0" w:color="auto"/>
            </w:tcBorders>
            <w:shd w:val="clear" w:color="auto" w:fill="auto"/>
            <w:noWrap/>
            <w:vAlign w:val="center"/>
            <w:hideMark/>
          </w:tcPr>
          <w:p w14:paraId="7723B0ED"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3.2</w:t>
            </w:r>
          </w:p>
        </w:tc>
        <w:tc>
          <w:tcPr>
            <w:tcW w:w="2693" w:type="dxa"/>
            <w:tcBorders>
              <w:top w:val="nil"/>
              <w:left w:val="nil"/>
              <w:bottom w:val="single" w:sz="4" w:space="0" w:color="auto"/>
              <w:right w:val="single" w:sz="4" w:space="0" w:color="auto"/>
            </w:tcBorders>
            <w:shd w:val="clear" w:color="auto" w:fill="auto"/>
            <w:noWrap/>
            <w:vAlign w:val="center"/>
            <w:hideMark/>
          </w:tcPr>
          <w:p w14:paraId="2F47664A" w14:textId="77777777" w:rsidR="00B17792" w:rsidRPr="00B17792" w:rsidRDefault="00B17792" w:rsidP="00B17792">
            <w:pPr>
              <w:spacing w:after="0" w:line="240" w:lineRule="auto"/>
              <w:jc w:val="center"/>
              <w:rPr>
                <w:rFonts w:ascii="Calibri" w:eastAsia="Times New Roman" w:hAnsi="Calibri" w:cs="Times New Roman"/>
                <w:color w:val="000000"/>
                <w:sz w:val="24"/>
                <w:szCs w:val="24"/>
                <w:lang w:eastAsia="en-GB"/>
              </w:rPr>
            </w:pPr>
            <w:r w:rsidRPr="00B17792">
              <w:rPr>
                <w:rFonts w:ascii="Calibri" w:eastAsia="Times New Roman" w:hAnsi="Calibri" w:cs="Times New Roman"/>
                <w:color w:val="000000"/>
                <w:sz w:val="24"/>
                <w:szCs w:val="24"/>
                <w:lang w:eastAsia="en-GB"/>
              </w:rPr>
              <w:t> </w:t>
            </w:r>
          </w:p>
        </w:tc>
      </w:tr>
      <w:tr w:rsidR="00B17792" w:rsidRPr="00B17792" w14:paraId="266B00C6" w14:textId="77777777" w:rsidTr="00FB3539">
        <w:trPr>
          <w:trHeight w:val="540"/>
        </w:trPr>
        <w:tc>
          <w:tcPr>
            <w:tcW w:w="2080" w:type="dxa"/>
            <w:tcBorders>
              <w:top w:val="nil"/>
              <w:left w:val="single" w:sz="4" w:space="0" w:color="auto"/>
              <w:bottom w:val="single" w:sz="4" w:space="0" w:color="auto"/>
              <w:right w:val="single" w:sz="4" w:space="0" w:color="auto"/>
            </w:tcBorders>
            <w:shd w:val="clear" w:color="000000" w:fill="FFFFCC"/>
            <w:vAlign w:val="center"/>
            <w:hideMark/>
          </w:tcPr>
          <w:p w14:paraId="6ECF5CC6" w14:textId="77777777" w:rsidR="00B17792" w:rsidRPr="008A46FB" w:rsidRDefault="00B17792" w:rsidP="00B17792">
            <w:pPr>
              <w:spacing w:after="0" w:line="240" w:lineRule="auto"/>
              <w:rPr>
                <w:rFonts w:ascii="Calibri" w:eastAsia="Times New Roman" w:hAnsi="Calibri" w:cs="Times New Roman"/>
                <w:b/>
                <w:bCs/>
                <w:color w:val="000000"/>
                <w:sz w:val="24"/>
                <w:szCs w:val="24"/>
                <w:lang w:eastAsia="en-GB"/>
              </w:rPr>
            </w:pPr>
            <w:r w:rsidRPr="008A46FB">
              <w:rPr>
                <w:rFonts w:ascii="Calibri" w:eastAsia="Times New Roman" w:hAnsi="Calibri" w:cs="Times New Roman"/>
                <w:b/>
                <w:bCs/>
                <w:color w:val="000000"/>
                <w:sz w:val="24"/>
                <w:szCs w:val="24"/>
                <w:lang w:eastAsia="en-GB"/>
              </w:rPr>
              <w:t>Total</w:t>
            </w:r>
          </w:p>
        </w:tc>
        <w:tc>
          <w:tcPr>
            <w:tcW w:w="2080" w:type="dxa"/>
            <w:tcBorders>
              <w:top w:val="nil"/>
              <w:left w:val="nil"/>
              <w:bottom w:val="single" w:sz="4" w:space="0" w:color="auto"/>
              <w:right w:val="single" w:sz="4" w:space="0" w:color="auto"/>
            </w:tcBorders>
            <w:shd w:val="clear" w:color="000000" w:fill="FFFFCC"/>
            <w:noWrap/>
            <w:vAlign w:val="center"/>
            <w:hideMark/>
          </w:tcPr>
          <w:p w14:paraId="24271330" w14:textId="77777777" w:rsidR="00B17792" w:rsidRPr="008A46FB" w:rsidRDefault="00B17792" w:rsidP="00B17792">
            <w:pPr>
              <w:spacing w:after="0" w:line="240" w:lineRule="auto"/>
              <w:jc w:val="center"/>
              <w:rPr>
                <w:rFonts w:ascii="Calibri" w:eastAsia="Times New Roman" w:hAnsi="Calibri" w:cs="Times New Roman"/>
                <w:b/>
                <w:bCs/>
                <w:color w:val="000000"/>
                <w:sz w:val="24"/>
                <w:szCs w:val="24"/>
                <w:lang w:eastAsia="en-GB"/>
              </w:rPr>
            </w:pPr>
            <w:r w:rsidRPr="008A46FB">
              <w:rPr>
                <w:rFonts w:ascii="Calibri" w:eastAsia="Times New Roman" w:hAnsi="Calibri" w:cs="Times New Roman"/>
                <w:b/>
                <w:bCs/>
                <w:color w:val="000000"/>
                <w:sz w:val="24"/>
                <w:szCs w:val="24"/>
                <w:lang w:eastAsia="en-GB"/>
              </w:rPr>
              <w:t>35,398</w:t>
            </w:r>
          </w:p>
        </w:tc>
        <w:tc>
          <w:tcPr>
            <w:tcW w:w="2781" w:type="dxa"/>
            <w:tcBorders>
              <w:top w:val="nil"/>
              <w:left w:val="nil"/>
              <w:bottom w:val="single" w:sz="4" w:space="0" w:color="auto"/>
              <w:right w:val="single" w:sz="4" w:space="0" w:color="auto"/>
            </w:tcBorders>
            <w:shd w:val="clear" w:color="000000" w:fill="FFFFCC"/>
            <w:noWrap/>
            <w:vAlign w:val="center"/>
            <w:hideMark/>
          </w:tcPr>
          <w:p w14:paraId="0A17EAA3" w14:textId="77777777" w:rsidR="00B17792" w:rsidRPr="008A46FB" w:rsidRDefault="00B17792" w:rsidP="00B17792">
            <w:pPr>
              <w:spacing w:after="0" w:line="240" w:lineRule="auto"/>
              <w:jc w:val="center"/>
              <w:rPr>
                <w:rFonts w:ascii="Calibri" w:eastAsia="Times New Roman" w:hAnsi="Calibri" w:cs="Times New Roman"/>
                <w:b/>
                <w:bCs/>
                <w:color w:val="000000"/>
                <w:sz w:val="24"/>
                <w:szCs w:val="24"/>
                <w:lang w:eastAsia="en-GB"/>
              </w:rPr>
            </w:pPr>
            <w:r w:rsidRPr="008A46FB">
              <w:rPr>
                <w:rFonts w:ascii="Calibri" w:eastAsia="Times New Roman" w:hAnsi="Calibri" w:cs="Times New Roman"/>
                <w:b/>
                <w:bCs/>
                <w:color w:val="000000"/>
                <w:sz w:val="24"/>
                <w:szCs w:val="24"/>
                <w:lang w:eastAsia="en-GB"/>
              </w:rPr>
              <w:t>19.7</w:t>
            </w:r>
          </w:p>
        </w:tc>
        <w:tc>
          <w:tcPr>
            <w:tcW w:w="2693" w:type="dxa"/>
            <w:tcBorders>
              <w:top w:val="nil"/>
              <w:left w:val="nil"/>
              <w:bottom w:val="single" w:sz="4" w:space="0" w:color="auto"/>
              <w:right w:val="single" w:sz="4" w:space="0" w:color="auto"/>
            </w:tcBorders>
            <w:shd w:val="clear" w:color="000000" w:fill="FFFFCC"/>
            <w:noWrap/>
            <w:vAlign w:val="center"/>
            <w:hideMark/>
          </w:tcPr>
          <w:p w14:paraId="52912CA8" w14:textId="77777777" w:rsidR="00B17792" w:rsidRPr="008A46FB" w:rsidRDefault="00B17792" w:rsidP="00B17792">
            <w:pPr>
              <w:spacing w:after="0" w:line="240" w:lineRule="auto"/>
              <w:jc w:val="center"/>
              <w:rPr>
                <w:rFonts w:ascii="Calibri" w:eastAsia="Times New Roman" w:hAnsi="Calibri" w:cs="Times New Roman"/>
                <w:b/>
                <w:bCs/>
                <w:color w:val="000000"/>
                <w:sz w:val="24"/>
                <w:szCs w:val="24"/>
                <w:lang w:eastAsia="en-GB"/>
              </w:rPr>
            </w:pPr>
            <w:r w:rsidRPr="008A46FB">
              <w:rPr>
                <w:rFonts w:ascii="Calibri" w:eastAsia="Times New Roman" w:hAnsi="Calibri" w:cs="Times New Roman"/>
                <w:b/>
                <w:bCs/>
                <w:color w:val="000000"/>
                <w:sz w:val="24"/>
                <w:szCs w:val="24"/>
                <w:lang w:eastAsia="en-GB"/>
              </w:rPr>
              <w:t>10.4</w:t>
            </w:r>
          </w:p>
        </w:tc>
      </w:tr>
    </w:tbl>
    <w:p w14:paraId="3029EE74" w14:textId="77777777" w:rsidR="0018413E" w:rsidRDefault="0018413E" w:rsidP="00513A8F">
      <w:pPr>
        <w:tabs>
          <w:tab w:val="num" w:pos="720"/>
        </w:tabs>
        <w:spacing w:after="0" w:line="240" w:lineRule="auto"/>
      </w:pPr>
    </w:p>
    <w:p w14:paraId="10ECBC68" w14:textId="77777777" w:rsidR="00B17792" w:rsidRDefault="00B17792" w:rsidP="00513A8F">
      <w:pPr>
        <w:tabs>
          <w:tab w:val="num" w:pos="720"/>
        </w:tabs>
        <w:spacing w:after="0" w:line="240" w:lineRule="auto"/>
      </w:pPr>
    </w:p>
    <w:p w14:paraId="5EC57DA4" w14:textId="54372DBC" w:rsidR="006F2D1F" w:rsidRDefault="006F2D1F" w:rsidP="00513A8F">
      <w:pPr>
        <w:tabs>
          <w:tab w:val="num" w:pos="720"/>
        </w:tabs>
        <w:spacing w:after="0" w:line="240" w:lineRule="auto"/>
      </w:pPr>
      <w:r>
        <w:t>In summary, t</w:t>
      </w:r>
      <w:r w:rsidR="00EA4AF4">
        <w:t xml:space="preserve">oday (2019) we have 8.7 FTE </w:t>
      </w:r>
      <w:r w:rsidR="00F47CF8">
        <w:t>GPs</w:t>
      </w:r>
      <w:r w:rsidR="00EA4AF4">
        <w:t xml:space="preserve"> covering these two surgeries</w:t>
      </w:r>
      <w:r w:rsidR="005E5C29">
        <w:t xml:space="preserve"> (or 11 </w:t>
      </w:r>
      <w:r w:rsidR="00F47CF8">
        <w:t>GPs</w:t>
      </w:r>
      <w:r w:rsidR="005E5C29">
        <w:t xml:space="preserve"> at any one time)</w:t>
      </w:r>
      <w:r w:rsidR="00EA4AF4">
        <w:t>. Using the</w:t>
      </w:r>
      <w:r>
        <w:t xml:space="preserve"> Ascot Plan</w:t>
      </w:r>
      <w:r w:rsidR="00EA4AF4">
        <w:t xml:space="preserve"> stated patient projections for 2031</w:t>
      </w:r>
      <w:r>
        <w:t xml:space="preserve"> </w:t>
      </w:r>
      <w:r w:rsidR="00EA4AF4">
        <w:t xml:space="preserve">we can see that the requirement (following NHS England guidelines) </w:t>
      </w:r>
      <w:r w:rsidR="00EA4AF4" w:rsidRPr="00EA4AF4">
        <w:rPr>
          <w:b/>
          <w:bCs/>
        </w:rPr>
        <w:t>is for</w:t>
      </w:r>
      <w:r w:rsidR="005E5C29">
        <w:rPr>
          <w:b/>
          <w:bCs/>
        </w:rPr>
        <w:t xml:space="preserve"> </w:t>
      </w:r>
      <w:r w:rsidR="0060658F">
        <w:rPr>
          <w:b/>
          <w:bCs/>
        </w:rPr>
        <w:t>little or no</w:t>
      </w:r>
      <w:r w:rsidR="00EA4AF4" w:rsidRPr="00EA4AF4">
        <w:rPr>
          <w:b/>
          <w:bCs/>
        </w:rPr>
        <w:t xml:space="preserve"> increase </w:t>
      </w:r>
      <w:r w:rsidR="005E5C29">
        <w:rPr>
          <w:b/>
          <w:bCs/>
        </w:rPr>
        <w:t xml:space="preserve">in the number of </w:t>
      </w:r>
      <w:r w:rsidR="00F47CF8">
        <w:rPr>
          <w:b/>
          <w:bCs/>
        </w:rPr>
        <w:t>GPs</w:t>
      </w:r>
      <w:r w:rsidR="00EA4AF4" w:rsidRPr="00EA4AF4">
        <w:rPr>
          <w:b/>
          <w:bCs/>
        </w:rPr>
        <w:t xml:space="preserve"> over </w:t>
      </w:r>
      <w:r>
        <w:rPr>
          <w:b/>
          <w:bCs/>
        </w:rPr>
        <w:t xml:space="preserve">the </w:t>
      </w:r>
      <w:r w:rsidR="00EA4AF4" w:rsidRPr="00EA4AF4">
        <w:rPr>
          <w:b/>
          <w:bCs/>
        </w:rPr>
        <w:t>12 years from 2019 to 203</w:t>
      </w:r>
      <w:r w:rsidR="00EA4AF4">
        <w:rPr>
          <w:b/>
          <w:bCs/>
        </w:rPr>
        <w:t xml:space="preserve">1 </w:t>
      </w:r>
      <w:r w:rsidR="00EA4AF4" w:rsidRPr="00EA4AF4">
        <w:rPr>
          <w:b/>
          <w:bCs/>
        </w:rPr>
        <w:t>cover</w:t>
      </w:r>
      <w:r w:rsidR="00EA4AF4">
        <w:rPr>
          <w:b/>
          <w:bCs/>
        </w:rPr>
        <w:t xml:space="preserve">ing both Kings Corner and Magnolia House </w:t>
      </w:r>
      <w:r w:rsidR="00EA4AF4" w:rsidRPr="00EA4AF4">
        <w:rPr>
          <w:b/>
          <w:bCs/>
        </w:rPr>
        <w:t>surgeries</w:t>
      </w:r>
      <w:r w:rsidR="00EA4AF4">
        <w:t xml:space="preserve">. </w:t>
      </w:r>
    </w:p>
    <w:p w14:paraId="093784E2" w14:textId="77777777" w:rsidR="005B5D1C" w:rsidRDefault="005B5D1C" w:rsidP="00513A8F">
      <w:pPr>
        <w:tabs>
          <w:tab w:val="num" w:pos="720"/>
        </w:tabs>
        <w:spacing w:after="0" w:line="240" w:lineRule="auto"/>
      </w:pPr>
    </w:p>
    <w:p w14:paraId="2D197C51" w14:textId="7F5A0885" w:rsidR="00227120" w:rsidRDefault="005E5C29" w:rsidP="00513A8F">
      <w:pPr>
        <w:tabs>
          <w:tab w:val="num" w:pos="720"/>
        </w:tabs>
        <w:spacing w:after="0" w:line="240" w:lineRule="auto"/>
      </w:pPr>
      <w:r>
        <w:t xml:space="preserve">We were unable to see any </w:t>
      </w:r>
      <w:r w:rsidR="005B5D1C">
        <w:t xml:space="preserve">reference in the planning application to indicate that there would be a greater provision of </w:t>
      </w:r>
      <w:r w:rsidR="00F47CF8">
        <w:t>GPs</w:t>
      </w:r>
      <w:r w:rsidR="005B5D1C">
        <w:t xml:space="preserve"> above the number indicated in the NHS England model. </w:t>
      </w:r>
    </w:p>
    <w:p w14:paraId="6552F25E" w14:textId="77777777" w:rsidR="00227120" w:rsidRDefault="00227120" w:rsidP="00513A8F">
      <w:pPr>
        <w:tabs>
          <w:tab w:val="num" w:pos="720"/>
        </w:tabs>
        <w:spacing w:after="0" w:line="240" w:lineRule="auto"/>
      </w:pPr>
    </w:p>
    <w:p w14:paraId="4EFC1FDC" w14:textId="3B235D30" w:rsidR="0060658F" w:rsidRDefault="00F35D47" w:rsidP="00513A8F">
      <w:pPr>
        <w:tabs>
          <w:tab w:val="num" w:pos="720"/>
        </w:tabs>
        <w:spacing w:after="0" w:line="240" w:lineRule="auto"/>
      </w:pPr>
      <w:r>
        <w:t xml:space="preserve">However, in the chart (VSC, section 5.25) there are 38 </w:t>
      </w:r>
      <w:r w:rsidR="00F47CF8">
        <w:t>GPs</w:t>
      </w:r>
      <w:r>
        <w:t xml:space="preserve"> indicated as </w:t>
      </w:r>
      <w:r w:rsidR="008A2519">
        <w:t xml:space="preserve">the </w:t>
      </w:r>
      <w:r>
        <w:t>maximum staff at any one time shown for 20</w:t>
      </w:r>
      <w:r w:rsidR="00227120">
        <w:t>2</w:t>
      </w:r>
      <w:r>
        <w:t>0</w:t>
      </w:r>
      <w:r w:rsidR="008A2519">
        <w:t xml:space="preserve"> at the new community health hub</w:t>
      </w:r>
      <w:r>
        <w:t xml:space="preserve">. This includes existing Kings Corner and Magnolia House </w:t>
      </w:r>
      <w:r w:rsidR="00F47CF8">
        <w:t>GPs</w:t>
      </w:r>
      <w:r>
        <w:t xml:space="preserve"> (11) plus a further 27 Berkshire &amp; Frimley Trust </w:t>
      </w:r>
      <w:r w:rsidR="00F47CF8">
        <w:t>GPs</w:t>
      </w:r>
      <w:r>
        <w:t xml:space="preserve"> and other social care providers. </w:t>
      </w:r>
      <w:r w:rsidR="008A2519">
        <w:t>An additional 15 clinical staff are forecast to be recruited up until 2027.</w:t>
      </w:r>
    </w:p>
    <w:p w14:paraId="0E25601A" w14:textId="77777777" w:rsidR="0060658F" w:rsidRDefault="0060658F" w:rsidP="00513A8F">
      <w:pPr>
        <w:tabs>
          <w:tab w:val="num" w:pos="720"/>
        </w:tabs>
        <w:spacing w:after="0" w:line="240" w:lineRule="auto"/>
      </w:pPr>
    </w:p>
    <w:p w14:paraId="6237A934" w14:textId="571868DA" w:rsidR="00FB3539" w:rsidRDefault="00F35D47" w:rsidP="00513A8F">
      <w:pPr>
        <w:tabs>
          <w:tab w:val="num" w:pos="720"/>
        </w:tabs>
        <w:spacing w:after="0" w:line="240" w:lineRule="auto"/>
      </w:pPr>
      <w:r>
        <w:t>T</w:t>
      </w:r>
      <w:r w:rsidR="005B5D1C">
        <w:t xml:space="preserve">he Parish Council </w:t>
      </w:r>
      <w:r>
        <w:t xml:space="preserve">therefore </w:t>
      </w:r>
      <w:r w:rsidR="006133FC">
        <w:t xml:space="preserve">request </w:t>
      </w:r>
      <w:r>
        <w:t xml:space="preserve">that more clarity and accurate information is provided </w:t>
      </w:r>
      <w:r w:rsidR="006133FC">
        <w:t xml:space="preserve">in this regard as </w:t>
      </w:r>
      <w:r>
        <w:t xml:space="preserve">the number of </w:t>
      </w:r>
      <w:r w:rsidR="00F47CF8">
        <w:t>GPs</w:t>
      </w:r>
      <w:r>
        <w:t xml:space="preserve"> </w:t>
      </w:r>
      <w:r w:rsidR="006133FC">
        <w:t xml:space="preserve">that are forecast for 2031 using NHS England statistics of 1 FTE GP for every 1,800 patients would not appear to justify the </w:t>
      </w:r>
      <w:r w:rsidR="006133FC" w:rsidRPr="006133FC">
        <w:t>need for a total of 32 consultation rooms</w:t>
      </w:r>
      <w:r w:rsidR="006133FC">
        <w:t>.</w:t>
      </w:r>
    </w:p>
    <w:p w14:paraId="17E34DA9" w14:textId="55411B9E" w:rsidR="005B5D1C" w:rsidRDefault="005B5D1C" w:rsidP="00513A8F">
      <w:pPr>
        <w:tabs>
          <w:tab w:val="num" w:pos="720"/>
        </w:tabs>
        <w:spacing w:after="0" w:line="240" w:lineRule="auto"/>
      </w:pPr>
    </w:p>
    <w:p w14:paraId="3DCD70D6" w14:textId="6651804C" w:rsidR="008D69E7" w:rsidRDefault="00851812" w:rsidP="00513A8F">
      <w:pPr>
        <w:tabs>
          <w:tab w:val="num" w:pos="720"/>
        </w:tabs>
        <w:spacing w:after="0" w:line="240" w:lineRule="auto"/>
        <w:rPr>
          <w:i/>
          <w:iCs/>
        </w:rPr>
      </w:pPr>
      <w:r>
        <w:t xml:space="preserve">However, it is noted that </w:t>
      </w:r>
      <w:r w:rsidR="008D69E7">
        <w:t>on page 23 of the East Berkshire CCG report i</w:t>
      </w:r>
      <w:r>
        <w:t>s written:</w:t>
      </w:r>
      <w:r w:rsidR="008D69E7">
        <w:t xml:space="preserve"> </w:t>
      </w:r>
      <w:r w:rsidR="00FB3158">
        <w:t>‘</w:t>
      </w:r>
      <w:r w:rsidR="00FB3158" w:rsidRPr="00FB3158">
        <w:rPr>
          <w:i/>
          <w:iCs/>
        </w:rPr>
        <w:t>in order for the CCHG to deliver new primary care facilities within the Ascot area , the proposals must be deemed as ‘transformational’ in order to gain the required support and funding from NHS England’</w:t>
      </w:r>
      <w:r w:rsidR="008D3F14">
        <w:rPr>
          <w:i/>
          <w:iCs/>
        </w:rPr>
        <w:t xml:space="preserve">. </w:t>
      </w:r>
    </w:p>
    <w:p w14:paraId="22F7208C" w14:textId="7DA84E2F" w:rsidR="008D3F14" w:rsidRDefault="008D3F14" w:rsidP="00513A8F">
      <w:pPr>
        <w:tabs>
          <w:tab w:val="num" w:pos="720"/>
        </w:tabs>
        <w:spacing w:after="0" w:line="240" w:lineRule="auto"/>
        <w:rPr>
          <w:i/>
          <w:iCs/>
        </w:rPr>
      </w:pPr>
    </w:p>
    <w:p w14:paraId="3CCC4B2C" w14:textId="758F23E0" w:rsidR="008D3F14" w:rsidRDefault="008D3F14" w:rsidP="00513A8F">
      <w:pPr>
        <w:tabs>
          <w:tab w:val="num" w:pos="720"/>
        </w:tabs>
        <w:spacing w:after="0" w:line="240" w:lineRule="auto"/>
      </w:pPr>
      <w:r>
        <w:t xml:space="preserve">Hence, it could be argued that the planning application </w:t>
      </w:r>
      <w:r w:rsidR="00851812">
        <w:t xml:space="preserve">might </w:t>
      </w:r>
      <w:r w:rsidR="00851812" w:rsidRPr="00752F7A">
        <w:t xml:space="preserve">be </w:t>
      </w:r>
      <w:r w:rsidR="0016510B" w:rsidRPr="00752F7A">
        <w:t>over-speci</w:t>
      </w:r>
      <w:r w:rsidR="00FB7339" w:rsidRPr="00752F7A">
        <w:t>f</w:t>
      </w:r>
      <w:r w:rsidR="00E80AD9">
        <w:t>ied</w:t>
      </w:r>
      <w:r w:rsidR="00FB7339">
        <w:t xml:space="preserve"> </w:t>
      </w:r>
      <w:r w:rsidR="0016510B">
        <w:t xml:space="preserve">to </w:t>
      </w:r>
      <w:r>
        <w:t xml:space="preserve">emphasise the scope of what will be provided at the </w:t>
      </w:r>
      <w:r w:rsidR="00851812">
        <w:t>c</w:t>
      </w:r>
      <w:r>
        <w:t xml:space="preserve">ommunity </w:t>
      </w:r>
      <w:r w:rsidR="00851812">
        <w:t>h</w:t>
      </w:r>
      <w:r>
        <w:t xml:space="preserve">ealth </w:t>
      </w:r>
      <w:r w:rsidR="00851812">
        <w:t>hub.</w:t>
      </w:r>
    </w:p>
    <w:p w14:paraId="683E09D2" w14:textId="2F0BB3E7" w:rsidR="00EE31A1" w:rsidRDefault="00EE31A1" w:rsidP="00513A8F">
      <w:pPr>
        <w:tabs>
          <w:tab w:val="num" w:pos="720"/>
        </w:tabs>
        <w:spacing w:after="0" w:line="240" w:lineRule="auto"/>
      </w:pPr>
    </w:p>
    <w:p w14:paraId="6F016CFF" w14:textId="3FB690DC" w:rsidR="00EE31A1" w:rsidRDefault="00EE31A1" w:rsidP="00513A8F">
      <w:pPr>
        <w:tabs>
          <w:tab w:val="num" w:pos="720"/>
        </w:tabs>
        <w:spacing w:after="0" w:line="240" w:lineRule="auto"/>
      </w:pPr>
      <w:r>
        <w:t xml:space="preserve">As </w:t>
      </w:r>
      <w:r w:rsidR="00FB3539">
        <w:t>it is understood that the</w:t>
      </w:r>
      <w:r>
        <w:t xml:space="preserve"> majority of </w:t>
      </w:r>
      <w:r w:rsidR="00F47CF8">
        <w:t>GPs</w:t>
      </w:r>
      <w:r>
        <w:t xml:space="preserve"> are working either part time or on a locum basis there must be some sharing of consulting rooms which would help to reduce the size of the building. Yet, there was no reference in the application to any such </w:t>
      </w:r>
      <w:r w:rsidR="00541685">
        <w:t xml:space="preserve">GP </w:t>
      </w:r>
      <w:r>
        <w:t>sharing of consulting room</w:t>
      </w:r>
      <w:r w:rsidR="00541685">
        <w:t>s</w:t>
      </w:r>
      <w:r>
        <w:t>.</w:t>
      </w:r>
    </w:p>
    <w:p w14:paraId="20654B67" w14:textId="6AB693FF" w:rsidR="00C83CCC" w:rsidRDefault="00C83CCC" w:rsidP="00513A8F">
      <w:pPr>
        <w:tabs>
          <w:tab w:val="num" w:pos="720"/>
        </w:tabs>
        <w:spacing w:after="0" w:line="240" w:lineRule="auto"/>
      </w:pPr>
    </w:p>
    <w:p w14:paraId="3391C8A0" w14:textId="75DF738C" w:rsidR="00EC03F5" w:rsidRPr="00EC03F5" w:rsidRDefault="008A2519" w:rsidP="00EC03F5">
      <w:pPr>
        <w:spacing w:after="0" w:line="240" w:lineRule="auto"/>
      </w:pPr>
      <w:r>
        <w:t xml:space="preserve">Also, the planned opening hours of the community health hub are </w:t>
      </w:r>
      <w:r w:rsidR="00C50E73">
        <w:t>longer than for the current two surgeries as shown in the chart b</w:t>
      </w:r>
      <w:r w:rsidR="00C50E73" w:rsidRPr="00EC03F5">
        <w:t>elow</w:t>
      </w:r>
      <w:r w:rsidR="00C50E73" w:rsidRPr="00A06C4F">
        <w:t>.</w:t>
      </w:r>
      <w:r w:rsidR="00EC03F5" w:rsidRPr="00A06C4F">
        <w:t xml:space="preserve"> </w:t>
      </w:r>
      <w:r w:rsidR="00A06C4F" w:rsidRPr="00A06C4F">
        <w:t>What does not seem to have been taken into account is that i</w:t>
      </w:r>
      <w:r w:rsidR="00EC03F5" w:rsidRPr="00A06C4F">
        <w:t>ncreasing the opening hours alone provides a greater patient throughput, enough to increase</w:t>
      </w:r>
      <w:r w:rsidR="00EC03F5" w:rsidRPr="00EC03F5">
        <w:t xml:space="preserve"> capacity by 10% -17% on its own</w:t>
      </w:r>
      <w:r w:rsidR="0016510B">
        <w:t>.</w:t>
      </w:r>
    </w:p>
    <w:p w14:paraId="2F960E08" w14:textId="798326FC" w:rsidR="00C50E73" w:rsidRPr="008D3F14" w:rsidRDefault="00C50E73" w:rsidP="00513A8F">
      <w:pPr>
        <w:tabs>
          <w:tab w:val="num" w:pos="720"/>
        </w:tabs>
        <w:spacing w:after="0" w:line="240" w:lineRule="auto"/>
      </w:pPr>
    </w:p>
    <w:tbl>
      <w:tblPr>
        <w:tblStyle w:val="TableGrid"/>
        <w:tblW w:w="0" w:type="auto"/>
        <w:tblLook w:val="04A0" w:firstRow="1" w:lastRow="0" w:firstColumn="1" w:lastColumn="0" w:noHBand="0" w:noVBand="1"/>
      </w:tblPr>
      <w:tblGrid>
        <w:gridCol w:w="2254"/>
        <w:gridCol w:w="2254"/>
        <w:gridCol w:w="2254"/>
        <w:gridCol w:w="179"/>
        <w:gridCol w:w="2075"/>
      </w:tblGrid>
      <w:tr w:rsidR="00C50E73" w:rsidRPr="001C598E" w14:paraId="5E2857C7" w14:textId="77777777" w:rsidTr="003365B3">
        <w:tc>
          <w:tcPr>
            <w:tcW w:w="2254" w:type="dxa"/>
          </w:tcPr>
          <w:p w14:paraId="2AA50CA5" w14:textId="77777777" w:rsidR="00C50E73" w:rsidRPr="00C50E73" w:rsidRDefault="00C50E73" w:rsidP="003365B3">
            <w:pPr>
              <w:jc w:val="center"/>
              <w:rPr>
                <w:b/>
                <w:bCs/>
              </w:rPr>
            </w:pPr>
            <w:r w:rsidRPr="00C50E73">
              <w:rPr>
                <w:b/>
                <w:bCs/>
              </w:rPr>
              <w:t>OPENING HOURS</w:t>
            </w:r>
          </w:p>
        </w:tc>
        <w:tc>
          <w:tcPr>
            <w:tcW w:w="2254" w:type="dxa"/>
          </w:tcPr>
          <w:p w14:paraId="18E2D136" w14:textId="77777777" w:rsidR="00C50E73" w:rsidRPr="00C50E73" w:rsidRDefault="00C50E73" w:rsidP="003365B3">
            <w:pPr>
              <w:jc w:val="center"/>
              <w:rPr>
                <w:b/>
                <w:bCs/>
              </w:rPr>
            </w:pPr>
            <w:r w:rsidRPr="00C50E73">
              <w:rPr>
                <w:b/>
                <w:bCs/>
              </w:rPr>
              <w:t>Proposed Hub hours</w:t>
            </w:r>
          </w:p>
        </w:tc>
        <w:tc>
          <w:tcPr>
            <w:tcW w:w="2433" w:type="dxa"/>
            <w:gridSpan w:val="2"/>
          </w:tcPr>
          <w:p w14:paraId="5080D218" w14:textId="77777777" w:rsidR="00C50E73" w:rsidRPr="00C50E73" w:rsidRDefault="00C50E73" w:rsidP="003365B3">
            <w:pPr>
              <w:jc w:val="center"/>
              <w:rPr>
                <w:b/>
                <w:bCs/>
              </w:rPr>
            </w:pPr>
            <w:r w:rsidRPr="00C50E73">
              <w:rPr>
                <w:b/>
                <w:bCs/>
              </w:rPr>
              <w:t>Magnolia House hours</w:t>
            </w:r>
          </w:p>
        </w:tc>
        <w:tc>
          <w:tcPr>
            <w:tcW w:w="2075" w:type="dxa"/>
          </w:tcPr>
          <w:p w14:paraId="7908B583" w14:textId="77777777" w:rsidR="00C50E73" w:rsidRPr="00C50E73" w:rsidRDefault="00C50E73" w:rsidP="003365B3">
            <w:pPr>
              <w:jc w:val="center"/>
              <w:rPr>
                <w:b/>
                <w:bCs/>
              </w:rPr>
            </w:pPr>
            <w:r w:rsidRPr="00C50E73">
              <w:rPr>
                <w:b/>
                <w:bCs/>
              </w:rPr>
              <w:t>Kings Corner hours</w:t>
            </w:r>
          </w:p>
        </w:tc>
      </w:tr>
      <w:tr w:rsidR="00C50E73" w:rsidRPr="001C598E" w14:paraId="4F90F390" w14:textId="77777777" w:rsidTr="003365B3">
        <w:tc>
          <w:tcPr>
            <w:tcW w:w="2254" w:type="dxa"/>
          </w:tcPr>
          <w:p w14:paraId="4CBC4A6E" w14:textId="77777777" w:rsidR="00C50E73" w:rsidRPr="00C50E73" w:rsidRDefault="00C50E73" w:rsidP="003365B3">
            <w:pPr>
              <w:jc w:val="center"/>
            </w:pPr>
            <w:r w:rsidRPr="00C50E73">
              <w:t>Monday</w:t>
            </w:r>
          </w:p>
        </w:tc>
        <w:tc>
          <w:tcPr>
            <w:tcW w:w="2254" w:type="dxa"/>
          </w:tcPr>
          <w:p w14:paraId="6E802F55" w14:textId="77777777" w:rsidR="00C50E73" w:rsidRPr="00C50E73" w:rsidRDefault="00C50E73" w:rsidP="003365B3">
            <w:pPr>
              <w:jc w:val="center"/>
            </w:pPr>
            <w:r w:rsidRPr="00C50E73">
              <w:t>8.00am – 8.00pm</w:t>
            </w:r>
          </w:p>
        </w:tc>
        <w:tc>
          <w:tcPr>
            <w:tcW w:w="2254" w:type="dxa"/>
          </w:tcPr>
          <w:p w14:paraId="46A4B3C2" w14:textId="77777777" w:rsidR="00C50E73" w:rsidRPr="00C50E73" w:rsidRDefault="00C50E73" w:rsidP="003365B3">
            <w:pPr>
              <w:jc w:val="center"/>
            </w:pPr>
            <w:r w:rsidRPr="00C50E73">
              <w:t>8.00am – 6.30pm</w:t>
            </w:r>
          </w:p>
        </w:tc>
        <w:tc>
          <w:tcPr>
            <w:tcW w:w="2254" w:type="dxa"/>
            <w:gridSpan w:val="2"/>
          </w:tcPr>
          <w:p w14:paraId="3790F843" w14:textId="77777777" w:rsidR="00C50E73" w:rsidRPr="00C50E73" w:rsidRDefault="00C50E73" w:rsidP="003365B3">
            <w:pPr>
              <w:jc w:val="center"/>
              <w:rPr>
                <w:b/>
                <w:bCs/>
              </w:rPr>
            </w:pPr>
            <w:r w:rsidRPr="00C50E73">
              <w:t>8.00am – 6.30pm</w:t>
            </w:r>
          </w:p>
        </w:tc>
      </w:tr>
      <w:tr w:rsidR="00C50E73" w:rsidRPr="001C598E" w14:paraId="0F1B255A" w14:textId="77777777" w:rsidTr="003365B3">
        <w:tc>
          <w:tcPr>
            <w:tcW w:w="2254" w:type="dxa"/>
          </w:tcPr>
          <w:p w14:paraId="06DCB142" w14:textId="77777777" w:rsidR="00C50E73" w:rsidRPr="00C50E73" w:rsidRDefault="00C50E73" w:rsidP="003365B3">
            <w:pPr>
              <w:jc w:val="center"/>
            </w:pPr>
            <w:r w:rsidRPr="00C50E73">
              <w:t>Tuesday</w:t>
            </w:r>
          </w:p>
        </w:tc>
        <w:tc>
          <w:tcPr>
            <w:tcW w:w="2254" w:type="dxa"/>
          </w:tcPr>
          <w:p w14:paraId="5B88F190" w14:textId="77777777" w:rsidR="00C50E73" w:rsidRPr="00C50E73" w:rsidRDefault="00C50E73" w:rsidP="003365B3">
            <w:pPr>
              <w:jc w:val="center"/>
            </w:pPr>
            <w:r w:rsidRPr="00C50E73">
              <w:t>8.00am – 8.00pm</w:t>
            </w:r>
          </w:p>
        </w:tc>
        <w:tc>
          <w:tcPr>
            <w:tcW w:w="2254" w:type="dxa"/>
          </w:tcPr>
          <w:p w14:paraId="2FA8112F" w14:textId="77777777" w:rsidR="00C50E73" w:rsidRPr="00C50E73" w:rsidRDefault="00C50E73" w:rsidP="003365B3">
            <w:pPr>
              <w:jc w:val="center"/>
            </w:pPr>
            <w:r w:rsidRPr="00C50E73">
              <w:t>8.00am – 7.30pm</w:t>
            </w:r>
          </w:p>
        </w:tc>
        <w:tc>
          <w:tcPr>
            <w:tcW w:w="2254" w:type="dxa"/>
            <w:gridSpan w:val="2"/>
          </w:tcPr>
          <w:p w14:paraId="5DA7F2D1" w14:textId="77777777" w:rsidR="00C50E73" w:rsidRPr="00C50E73" w:rsidRDefault="00C50E73" w:rsidP="003365B3">
            <w:pPr>
              <w:jc w:val="center"/>
            </w:pPr>
            <w:r w:rsidRPr="00C50E73">
              <w:t>8.00am – 6.30pm</w:t>
            </w:r>
          </w:p>
        </w:tc>
      </w:tr>
      <w:tr w:rsidR="00C50E73" w:rsidRPr="001C598E" w14:paraId="1FB96800" w14:textId="77777777" w:rsidTr="003365B3">
        <w:tc>
          <w:tcPr>
            <w:tcW w:w="2254" w:type="dxa"/>
          </w:tcPr>
          <w:p w14:paraId="1F74B6FA" w14:textId="77777777" w:rsidR="00C50E73" w:rsidRPr="00C50E73" w:rsidRDefault="00C50E73" w:rsidP="003365B3">
            <w:pPr>
              <w:jc w:val="center"/>
            </w:pPr>
            <w:r w:rsidRPr="00C50E73">
              <w:t>Wednesday</w:t>
            </w:r>
          </w:p>
        </w:tc>
        <w:tc>
          <w:tcPr>
            <w:tcW w:w="2254" w:type="dxa"/>
          </w:tcPr>
          <w:p w14:paraId="5B9C6105" w14:textId="77777777" w:rsidR="00C50E73" w:rsidRPr="00C50E73" w:rsidRDefault="00C50E73" w:rsidP="003365B3">
            <w:pPr>
              <w:jc w:val="center"/>
            </w:pPr>
            <w:r w:rsidRPr="00C50E73">
              <w:t>8.00am – 8.00pm</w:t>
            </w:r>
          </w:p>
        </w:tc>
        <w:tc>
          <w:tcPr>
            <w:tcW w:w="2254" w:type="dxa"/>
          </w:tcPr>
          <w:p w14:paraId="1942F29B" w14:textId="77777777" w:rsidR="00C50E73" w:rsidRPr="00C50E73" w:rsidRDefault="00C50E73" w:rsidP="003365B3">
            <w:pPr>
              <w:jc w:val="center"/>
            </w:pPr>
            <w:r w:rsidRPr="00C50E73">
              <w:t>8.00am – 6.30pm</w:t>
            </w:r>
          </w:p>
        </w:tc>
        <w:tc>
          <w:tcPr>
            <w:tcW w:w="2254" w:type="dxa"/>
            <w:gridSpan w:val="2"/>
          </w:tcPr>
          <w:p w14:paraId="3861EC77" w14:textId="77777777" w:rsidR="00C50E73" w:rsidRPr="00C50E73" w:rsidRDefault="00C50E73" w:rsidP="003365B3">
            <w:pPr>
              <w:jc w:val="center"/>
            </w:pPr>
            <w:r w:rsidRPr="00C50E73">
              <w:t>8.00am – 6.30pm</w:t>
            </w:r>
          </w:p>
        </w:tc>
      </w:tr>
      <w:tr w:rsidR="00C50E73" w:rsidRPr="001C598E" w14:paraId="26809582" w14:textId="77777777" w:rsidTr="003365B3">
        <w:tc>
          <w:tcPr>
            <w:tcW w:w="2254" w:type="dxa"/>
          </w:tcPr>
          <w:p w14:paraId="26D78884" w14:textId="77777777" w:rsidR="00C50E73" w:rsidRPr="00C50E73" w:rsidRDefault="00C50E73" w:rsidP="003365B3">
            <w:pPr>
              <w:jc w:val="center"/>
            </w:pPr>
            <w:r w:rsidRPr="00C50E73">
              <w:t>Thursday</w:t>
            </w:r>
          </w:p>
        </w:tc>
        <w:tc>
          <w:tcPr>
            <w:tcW w:w="2254" w:type="dxa"/>
          </w:tcPr>
          <w:p w14:paraId="359CF27E" w14:textId="77777777" w:rsidR="00C50E73" w:rsidRPr="00C50E73" w:rsidRDefault="00C50E73" w:rsidP="003365B3">
            <w:pPr>
              <w:jc w:val="center"/>
            </w:pPr>
            <w:r w:rsidRPr="00C50E73">
              <w:t>8.00am – 8.00pm</w:t>
            </w:r>
          </w:p>
        </w:tc>
        <w:tc>
          <w:tcPr>
            <w:tcW w:w="2254" w:type="dxa"/>
          </w:tcPr>
          <w:p w14:paraId="610F8AA3" w14:textId="77777777" w:rsidR="00C50E73" w:rsidRPr="00C50E73" w:rsidRDefault="00C50E73" w:rsidP="003365B3">
            <w:pPr>
              <w:jc w:val="center"/>
            </w:pPr>
            <w:r w:rsidRPr="00C50E73">
              <w:t>8.00am – 6.30pm</w:t>
            </w:r>
          </w:p>
        </w:tc>
        <w:tc>
          <w:tcPr>
            <w:tcW w:w="2254" w:type="dxa"/>
            <w:gridSpan w:val="2"/>
          </w:tcPr>
          <w:p w14:paraId="2C467844" w14:textId="77777777" w:rsidR="00C50E73" w:rsidRPr="00C50E73" w:rsidRDefault="00C50E73" w:rsidP="003365B3">
            <w:pPr>
              <w:jc w:val="center"/>
            </w:pPr>
            <w:r w:rsidRPr="00C50E73">
              <w:t>8.00am – 6.30pm</w:t>
            </w:r>
          </w:p>
        </w:tc>
      </w:tr>
      <w:tr w:rsidR="00C50E73" w:rsidRPr="001C598E" w14:paraId="09C909F9" w14:textId="77777777" w:rsidTr="003365B3">
        <w:tc>
          <w:tcPr>
            <w:tcW w:w="2254" w:type="dxa"/>
          </w:tcPr>
          <w:p w14:paraId="2DF456AC" w14:textId="77777777" w:rsidR="00C50E73" w:rsidRPr="00C50E73" w:rsidRDefault="00C50E73" w:rsidP="003365B3">
            <w:pPr>
              <w:jc w:val="center"/>
            </w:pPr>
            <w:r w:rsidRPr="00C50E73">
              <w:t>Friday</w:t>
            </w:r>
          </w:p>
        </w:tc>
        <w:tc>
          <w:tcPr>
            <w:tcW w:w="2254" w:type="dxa"/>
          </w:tcPr>
          <w:p w14:paraId="11ADD20A" w14:textId="77777777" w:rsidR="00C50E73" w:rsidRPr="00C50E73" w:rsidRDefault="00C50E73" w:rsidP="003365B3">
            <w:pPr>
              <w:jc w:val="center"/>
            </w:pPr>
            <w:r w:rsidRPr="00C50E73">
              <w:t>8.00am – 8.00pm</w:t>
            </w:r>
          </w:p>
        </w:tc>
        <w:tc>
          <w:tcPr>
            <w:tcW w:w="2254" w:type="dxa"/>
          </w:tcPr>
          <w:p w14:paraId="545F7D08" w14:textId="77777777" w:rsidR="00C50E73" w:rsidRPr="00C50E73" w:rsidRDefault="00C50E73" w:rsidP="003365B3">
            <w:pPr>
              <w:jc w:val="center"/>
            </w:pPr>
            <w:r w:rsidRPr="00C50E73">
              <w:t>8.00am – 6.30pm</w:t>
            </w:r>
          </w:p>
        </w:tc>
        <w:tc>
          <w:tcPr>
            <w:tcW w:w="2254" w:type="dxa"/>
            <w:gridSpan w:val="2"/>
          </w:tcPr>
          <w:p w14:paraId="6E4C8CF8" w14:textId="77777777" w:rsidR="00C50E73" w:rsidRPr="00C50E73" w:rsidRDefault="00C50E73" w:rsidP="003365B3">
            <w:pPr>
              <w:jc w:val="center"/>
            </w:pPr>
            <w:r w:rsidRPr="00C50E73">
              <w:t>8.00am – 6.30pm</w:t>
            </w:r>
          </w:p>
        </w:tc>
      </w:tr>
      <w:tr w:rsidR="00C50E73" w:rsidRPr="001C598E" w14:paraId="7E093410" w14:textId="77777777" w:rsidTr="003365B3">
        <w:tc>
          <w:tcPr>
            <w:tcW w:w="2254" w:type="dxa"/>
          </w:tcPr>
          <w:p w14:paraId="00903CF3" w14:textId="77777777" w:rsidR="00C50E73" w:rsidRPr="00C50E73" w:rsidRDefault="00C50E73" w:rsidP="003365B3">
            <w:pPr>
              <w:jc w:val="center"/>
            </w:pPr>
            <w:r w:rsidRPr="00C50E73">
              <w:t>Saturday</w:t>
            </w:r>
          </w:p>
        </w:tc>
        <w:tc>
          <w:tcPr>
            <w:tcW w:w="2254" w:type="dxa"/>
          </w:tcPr>
          <w:p w14:paraId="387EDF30" w14:textId="77777777" w:rsidR="00C50E73" w:rsidRPr="00C50E73" w:rsidRDefault="00C50E73" w:rsidP="003365B3">
            <w:pPr>
              <w:jc w:val="center"/>
            </w:pPr>
            <w:r w:rsidRPr="00C50E73">
              <w:t>8.30am – 12.30pm</w:t>
            </w:r>
          </w:p>
        </w:tc>
        <w:tc>
          <w:tcPr>
            <w:tcW w:w="2254" w:type="dxa"/>
          </w:tcPr>
          <w:p w14:paraId="76451505" w14:textId="77777777" w:rsidR="00C50E73" w:rsidRPr="00C50E73" w:rsidRDefault="00C50E73" w:rsidP="003365B3">
            <w:pPr>
              <w:jc w:val="center"/>
            </w:pPr>
            <w:r w:rsidRPr="00C50E73">
              <w:t>8.30am – 1.00pm</w:t>
            </w:r>
          </w:p>
        </w:tc>
        <w:tc>
          <w:tcPr>
            <w:tcW w:w="2254" w:type="dxa"/>
            <w:gridSpan w:val="2"/>
          </w:tcPr>
          <w:p w14:paraId="53444B4A" w14:textId="77777777" w:rsidR="00C50E73" w:rsidRPr="00C50E73" w:rsidRDefault="00C50E73" w:rsidP="003365B3">
            <w:pPr>
              <w:jc w:val="center"/>
            </w:pPr>
            <w:r w:rsidRPr="00C50E73">
              <w:t>Not open</w:t>
            </w:r>
          </w:p>
        </w:tc>
      </w:tr>
      <w:tr w:rsidR="00C50E73" w:rsidRPr="001C598E" w14:paraId="1AD227DA" w14:textId="77777777" w:rsidTr="003365B3">
        <w:tc>
          <w:tcPr>
            <w:tcW w:w="2254" w:type="dxa"/>
          </w:tcPr>
          <w:p w14:paraId="421F5661" w14:textId="77777777" w:rsidR="00C50E73" w:rsidRPr="00C50E73" w:rsidRDefault="00C50E73" w:rsidP="003365B3">
            <w:pPr>
              <w:jc w:val="center"/>
              <w:rPr>
                <w:b/>
                <w:bCs/>
              </w:rPr>
            </w:pPr>
            <w:r w:rsidRPr="00C50E73">
              <w:rPr>
                <w:b/>
                <w:bCs/>
              </w:rPr>
              <w:t>Total</w:t>
            </w:r>
          </w:p>
        </w:tc>
        <w:tc>
          <w:tcPr>
            <w:tcW w:w="2254" w:type="dxa"/>
          </w:tcPr>
          <w:p w14:paraId="474197C9" w14:textId="77777777" w:rsidR="00C50E73" w:rsidRPr="00C50E73" w:rsidRDefault="00C50E73" w:rsidP="003365B3">
            <w:pPr>
              <w:jc w:val="center"/>
              <w:rPr>
                <w:b/>
                <w:bCs/>
              </w:rPr>
            </w:pPr>
            <w:r w:rsidRPr="00C50E73">
              <w:rPr>
                <w:b/>
                <w:bCs/>
              </w:rPr>
              <w:t>64 hours</w:t>
            </w:r>
          </w:p>
        </w:tc>
        <w:tc>
          <w:tcPr>
            <w:tcW w:w="2254" w:type="dxa"/>
          </w:tcPr>
          <w:p w14:paraId="3A68DDF9" w14:textId="77777777" w:rsidR="00C50E73" w:rsidRPr="00C50E73" w:rsidRDefault="00C50E73" w:rsidP="003365B3">
            <w:pPr>
              <w:jc w:val="center"/>
              <w:rPr>
                <w:b/>
                <w:bCs/>
              </w:rPr>
            </w:pPr>
            <w:r w:rsidRPr="00C50E73">
              <w:rPr>
                <w:b/>
                <w:bCs/>
              </w:rPr>
              <w:t>57.5 hours</w:t>
            </w:r>
          </w:p>
        </w:tc>
        <w:tc>
          <w:tcPr>
            <w:tcW w:w="2254" w:type="dxa"/>
            <w:gridSpan w:val="2"/>
          </w:tcPr>
          <w:p w14:paraId="64187F22" w14:textId="77777777" w:rsidR="00C50E73" w:rsidRPr="00C50E73" w:rsidRDefault="00C50E73" w:rsidP="003365B3">
            <w:pPr>
              <w:jc w:val="center"/>
              <w:rPr>
                <w:b/>
                <w:bCs/>
              </w:rPr>
            </w:pPr>
            <w:r w:rsidRPr="00C50E73">
              <w:rPr>
                <w:b/>
                <w:bCs/>
              </w:rPr>
              <w:t>52.5 hours</w:t>
            </w:r>
          </w:p>
        </w:tc>
      </w:tr>
    </w:tbl>
    <w:p w14:paraId="79589598" w14:textId="4EF53243" w:rsidR="008A2519" w:rsidRPr="008D3F14" w:rsidRDefault="008A2519" w:rsidP="00513A8F">
      <w:pPr>
        <w:tabs>
          <w:tab w:val="num" w:pos="720"/>
        </w:tabs>
        <w:spacing w:after="0" w:line="240" w:lineRule="auto"/>
      </w:pPr>
    </w:p>
    <w:p w14:paraId="2EEFB41B" w14:textId="34BF2A64" w:rsidR="003365B3" w:rsidRPr="003365B3" w:rsidRDefault="003365B3" w:rsidP="003365B3">
      <w:pPr>
        <w:spacing w:after="0" w:line="240" w:lineRule="auto"/>
      </w:pPr>
      <w:r w:rsidRPr="003365B3">
        <w:t xml:space="preserve">The Ascot Plan also states that </w:t>
      </w:r>
      <w:r w:rsidR="004C1F76">
        <w:rPr>
          <w:i/>
          <w:iCs/>
        </w:rPr>
        <w:t>“</w:t>
      </w:r>
      <w:r w:rsidRPr="003365B3">
        <w:rPr>
          <w:i/>
          <w:iCs/>
        </w:rPr>
        <w:t>the practices’ emerging model of services looks to reduce the space requirement through innovation, technology and greater flexibility in the multi-functional design of the clinical rooms. The innovations will include online consultations reducing the requirement of patients to travel, group consultations providing peer and professional support and extending service beyond the traditional hours of provision into the evening and weekend</w:t>
      </w:r>
      <w:r w:rsidR="004C1F76">
        <w:rPr>
          <w:i/>
          <w:iCs/>
        </w:rPr>
        <w:t>”</w:t>
      </w:r>
      <w:r w:rsidRPr="003365B3">
        <w:rPr>
          <w:i/>
          <w:iCs/>
        </w:rPr>
        <w:t>.</w:t>
      </w:r>
      <w:r w:rsidRPr="003365B3">
        <w:t xml:space="preserve"> </w:t>
      </w:r>
      <w:r>
        <w:t xml:space="preserve"> Such statements </w:t>
      </w:r>
      <w:r w:rsidR="00FF0010">
        <w:t xml:space="preserve">would demonstrate </w:t>
      </w:r>
      <w:r>
        <w:t xml:space="preserve">that a reduction in the number of clinical rooms is </w:t>
      </w:r>
      <w:r w:rsidR="00FF0010">
        <w:t xml:space="preserve">indicated. </w:t>
      </w:r>
    </w:p>
    <w:p w14:paraId="5E914AEE" w14:textId="06F47D28" w:rsidR="00FB3158" w:rsidRDefault="00FB3158" w:rsidP="00513A8F">
      <w:pPr>
        <w:tabs>
          <w:tab w:val="num" w:pos="720"/>
        </w:tabs>
        <w:spacing w:after="0" w:line="240" w:lineRule="auto"/>
        <w:rPr>
          <w:i/>
          <w:iCs/>
        </w:rPr>
      </w:pPr>
    </w:p>
    <w:p w14:paraId="25512B9A" w14:textId="051E82EC" w:rsidR="001D4156" w:rsidRDefault="008D3F14" w:rsidP="001D4156">
      <w:pPr>
        <w:tabs>
          <w:tab w:val="num" w:pos="720"/>
        </w:tabs>
        <w:spacing w:after="0" w:line="240" w:lineRule="auto"/>
      </w:pPr>
      <w:r>
        <w:t xml:space="preserve">The Parish Council are not questioning the need for a </w:t>
      </w:r>
      <w:r w:rsidR="00851812">
        <w:t>c</w:t>
      </w:r>
      <w:r>
        <w:t xml:space="preserve">ommunity </w:t>
      </w:r>
      <w:r w:rsidR="00851812">
        <w:t>h</w:t>
      </w:r>
      <w:r>
        <w:t xml:space="preserve">ealth </w:t>
      </w:r>
      <w:r w:rsidR="00851812">
        <w:t xml:space="preserve">hub </w:t>
      </w:r>
      <w:r>
        <w:t xml:space="preserve">or even to a certain extent its location on the Green Belt. What we are seeking clarification </w:t>
      </w:r>
      <w:r w:rsidR="0016510B">
        <w:t xml:space="preserve">on </w:t>
      </w:r>
      <w:r>
        <w:t>is the size of the building and the need for 32 consulting rooms when the</w:t>
      </w:r>
      <w:r w:rsidR="00851812">
        <w:t xml:space="preserve"> evidence to </w:t>
      </w:r>
      <w:r>
        <w:t>support that size</w:t>
      </w:r>
      <w:r w:rsidR="00851812">
        <w:t xml:space="preserve"> is not readily available</w:t>
      </w:r>
      <w:r>
        <w:t>.</w:t>
      </w:r>
      <w:r w:rsidR="00B8713D">
        <w:t xml:space="preserve"> This is very relevant as </w:t>
      </w:r>
      <w:r w:rsidR="00B8713D" w:rsidRPr="00B8713D">
        <w:t xml:space="preserve">the true requirement for clinical space is </w:t>
      </w:r>
      <w:r w:rsidR="00B8713D" w:rsidRPr="00B8713D">
        <w:rPr>
          <w:b/>
          <w:bCs/>
        </w:rPr>
        <w:t xml:space="preserve">critical </w:t>
      </w:r>
      <w:r w:rsidR="00B8713D" w:rsidRPr="00B8713D">
        <w:t>to deciding the size of this development. To over-ride the NPPF Green Belt policies in meeting “very special circumstances” the applicant is required to show that the proposals “</w:t>
      </w:r>
      <w:r w:rsidR="00B8713D" w:rsidRPr="00B8713D">
        <w:rPr>
          <w:b/>
          <w:bCs/>
        </w:rPr>
        <w:t xml:space="preserve">meet a clear need, no more and no less”.  </w:t>
      </w:r>
      <w:r w:rsidR="00B8713D" w:rsidRPr="00B8713D">
        <w:t>On the basis of the data presented to date the proposed number of clinical rooms would appear to be</w:t>
      </w:r>
      <w:r w:rsidR="00362E84">
        <w:t xml:space="preserve"> </w:t>
      </w:r>
      <w:r w:rsidR="00B8713D" w:rsidRPr="00B8713D">
        <w:t xml:space="preserve">higher than </w:t>
      </w:r>
      <w:r w:rsidR="00B8713D">
        <w:t>needed</w:t>
      </w:r>
      <w:r w:rsidR="00B8713D" w:rsidRPr="00B8713D">
        <w:t>.</w:t>
      </w:r>
    </w:p>
    <w:p w14:paraId="66CC49A6" w14:textId="4632601D" w:rsidR="00D73CF2" w:rsidRDefault="00D73CF2" w:rsidP="00B8713D">
      <w:pPr>
        <w:tabs>
          <w:tab w:val="num" w:pos="720"/>
        </w:tabs>
        <w:spacing w:after="0" w:line="240" w:lineRule="auto"/>
      </w:pPr>
    </w:p>
    <w:p w14:paraId="6E22440D" w14:textId="503F6AB2" w:rsidR="00520028" w:rsidRPr="003D3158" w:rsidRDefault="00520028" w:rsidP="00520028">
      <w:pPr>
        <w:pStyle w:val="ListParagraph"/>
        <w:numPr>
          <w:ilvl w:val="0"/>
          <w:numId w:val="10"/>
        </w:numPr>
        <w:rPr>
          <w:rFonts w:cstheme="minorHAnsi"/>
          <w:b/>
          <w:bCs/>
          <w:sz w:val="24"/>
          <w:szCs w:val="24"/>
        </w:rPr>
      </w:pPr>
      <w:r w:rsidRPr="003D3158">
        <w:rPr>
          <w:rFonts w:cstheme="minorHAnsi"/>
          <w:b/>
          <w:bCs/>
          <w:sz w:val="24"/>
          <w:szCs w:val="24"/>
        </w:rPr>
        <w:t>Dedicated Training Rooms</w:t>
      </w:r>
    </w:p>
    <w:p w14:paraId="3399A2F4" w14:textId="77777777" w:rsidR="00520028" w:rsidRDefault="00520028" w:rsidP="00520028">
      <w:pPr>
        <w:rPr>
          <w:rFonts w:cstheme="minorHAnsi"/>
        </w:rPr>
      </w:pPr>
      <w:r>
        <w:rPr>
          <w:rFonts w:cstheme="minorHAnsi"/>
        </w:rPr>
        <w:t>It is noted that on the first floor there are rooms dedicated to training refenced as ‘The Training Hub’.</w:t>
      </w:r>
    </w:p>
    <w:p w14:paraId="280D4AC7" w14:textId="02429C69" w:rsidR="00520028" w:rsidRDefault="00520028" w:rsidP="00520028">
      <w:pPr>
        <w:rPr>
          <w:rFonts w:cstheme="minorHAnsi"/>
        </w:rPr>
      </w:pPr>
      <w:r>
        <w:rPr>
          <w:rFonts w:cstheme="minorHAnsi"/>
        </w:rPr>
        <w:t>Looking the Ascot Plan, this Training Hub is:</w:t>
      </w:r>
    </w:p>
    <w:p w14:paraId="20FA697F" w14:textId="77777777" w:rsidR="00520028" w:rsidRDefault="00520028" w:rsidP="00520028">
      <w:pPr>
        <w:autoSpaceDE w:val="0"/>
        <w:autoSpaceDN w:val="0"/>
        <w:adjustRightInd w:val="0"/>
        <w:spacing w:after="0" w:line="240" w:lineRule="auto"/>
        <w:rPr>
          <w:rFonts w:cstheme="minorHAnsi"/>
          <w:i/>
          <w:iCs/>
        </w:rPr>
      </w:pPr>
      <w:r>
        <w:rPr>
          <w:rFonts w:cstheme="minorHAnsi"/>
          <w:i/>
          <w:iCs/>
          <w:color w:val="000000"/>
        </w:rPr>
        <w:t>“</w:t>
      </w:r>
      <w:r w:rsidRPr="00251D96">
        <w:rPr>
          <w:rFonts w:cstheme="minorHAnsi"/>
          <w:i/>
          <w:iCs/>
          <w:color w:val="000000"/>
        </w:rPr>
        <w:t xml:space="preserve">the development of the training facilities across Ascot </w:t>
      </w:r>
      <w:r>
        <w:rPr>
          <w:rFonts w:cstheme="minorHAnsi"/>
          <w:i/>
          <w:iCs/>
          <w:color w:val="000000"/>
        </w:rPr>
        <w:t xml:space="preserve">and </w:t>
      </w:r>
      <w:r w:rsidRPr="00251D96">
        <w:rPr>
          <w:rFonts w:cstheme="minorHAnsi"/>
          <w:i/>
          <w:iCs/>
          <w:color w:val="000000"/>
        </w:rPr>
        <w:t>is essential to attracting new members of the team, both clinical and non-clinical, through working with the local Community Education provider Network and the Primary Care Networks. We would look to increase the retention</w:t>
      </w:r>
      <w:r>
        <w:rPr>
          <w:rFonts w:cstheme="minorHAnsi"/>
          <w:i/>
          <w:iCs/>
          <w:color w:val="000000"/>
        </w:rPr>
        <w:t xml:space="preserve"> </w:t>
      </w:r>
      <w:r w:rsidRPr="00282F5F">
        <w:rPr>
          <w:rFonts w:cstheme="minorHAnsi"/>
          <w:i/>
          <w:iCs/>
        </w:rPr>
        <w:t>post training of medical, nursing and non-clinical trainees through the wider offers of care, career opportunities and continual professional development with East Berkshire and the ICS</w:t>
      </w:r>
      <w:r>
        <w:rPr>
          <w:rFonts w:cstheme="minorHAnsi"/>
          <w:i/>
          <w:iCs/>
        </w:rPr>
        <w:t>”</w:t>
      </w:r>
    </w:p>
    <w:p w14:paraId="41ADDF44" w14:textId="77777777" w:rsidR="00520028" w:rsidRDefault="00520028" w:rsidP="00520028">
      <w:pPr>
        <w:autoSpaceDE w:val="0"/>
        <w:autoSpaceDN w:val="0"/>
        <w:adjustRightInd w:val="0"/>
        <w:spacing w:after="0" w:line="240" w:lineRule="auto"/>
        <w:rPr>
          <w:rFonts w:cstheme="minorHAnsi"/>
          <w:i/>
          <w:iCs/>
        </w:rPr>
      </w:pPr>
    </w:p>
    <w:p w14:paraId="465AFB09" w14:textId="77777777" w:rsidR="00520028" w:rsidRDefault="00520028" w:rsidP="00520028">
      <w:pPr>
        <w:autoSpaceDE w:val="0"/>
        <w:autoSpaceDN w:val="0"/>
        <w:adjustRightInd w:val="0"/>
        <w:spacing w:after="0" w:line="240" w:lineRule="auto"/>
        <w:rPr>
          <w:rFonts w:cstheme="minorHAnsi"/>
        </w:rPr>
      </w:pPr>
      <w:r>
        <w:rPr>
          <w:rFonts w:cstheme="minorHAnsi"/>
        </w:rPr>
        <w:t>We have not found a detailed description of the type and nature of training that would take place here to justify the creation of dedicated training and seminar rooms.</w:t>
      </w:r>
    </w:p>
    <w:p w14:paraId="2B5D5F1D" w14:textId="77777777" w:rsidR="00520028" w:rsidRDefault="00520028" w:rsidP="00520028">
      <w:pPr>
        <w:autoSpaceDE w:val="0"/>
        <w:autoSpaceDN w:val="0"/>
        <w:adjustRightInd w:val="0"/>
        <w:spacing w:after="0" w:line="240" w:lineRule="auto"/>
        <w:rPr>
          <w:rFonts w:cstheme="minorHAnsi"/>
        </w:rPr>
      </w:pPr>
    </w:p>
    <w:p w14:paraId="1244C54C" w14:textId="1B480737" w:rsidR="009B397D" w:rsidRDefault="00520028" w:rsidP="00520028">
      <w:pPr>
        <w:autoSpaceDE w:val="0"/>
        <w:autoSpaceDN w:val="0"/>
        <w:adjustRightInd w:val="0"/>
        <w:spacing w:after="0" w:line="240" w:lineRule="auto"/>
        <w:rPr>
          <w:rFonts w:cstheme="minorHAnsi"/>
        </w:rPr>
      </w:pPr>
      <w:r>
        <w:rPr>
          <w:rFonts w:cstheme="minorHAnsi"/>
        </w:rPr>
        <w:t xml:space="preserve">The Parish Council would have thought it unusual in a building that is supposed to be designed to be flexible and multi-purpose to have dedicated training rooms.  Again, professional input would be appreciated as </w:t>
      </w:r>
      <w:r w:rsidR="009B397D">
        <w:rPr>
          <w:rFonts w:cstheme="minorHAnsi"/>
        </w:rPr>
        <w:t xml:space="preserve">we had envisaged development based on shadowing, working under supervision and self-development rather than </w:t>
      </w:r>
      <w:r>
        <w:rPr>
          <w:rFonts w:cstheme="minorHAnsi"/>
        </w:rPr>
        <w:t xml:space="preserve">a permanent classroom based medical training </w:t>
      </w:r>
      <w:r w:rsidR="0016510B">
        <w:rPr>
          <w:rFonts w:cstheme="minorHAnsi"/>
        </w:rPr>
        <w:t>facility</w:t>
      </w:r>
      <w:r w:rsidR="009B397D">
        <w:rPr>
          <w:rFonts w:cstheme="minorHAnsi"/>
        </w:rPr>
        <w:t>.</w:t>
      </w:r>
      <w:r w:rsidR="009C4F33">
        <w:rPr>
          <w:rFonts w:cstheme="minorHAnsi"/>
        </w:rPr>
        <w:br/>
      </w:r>
    </w:p>
    <w:p w14:paraId="5693EEC5" w14:textId="2B4EC9DA" w:rsidR="009C4F33" w:rsidRPr="003D3158" w:rsidRDefault="00E17115" w:rsidP="009C4F33">
      <w:pPr>
        <w:pStyle w:val="ListParagraph"/>
        <w:numPr>
          <w:ilvl w:val="0"/>
          <w:numId w:val="10"/>
        </w:numPr>
        <w:autoSpaceDE w:val="0"/>
        <w:autoSpaceDN w:val="0"/>
        <w:adjustRightInd w:val="0"/>
        <w:spacing w:after="0" w:line="240" w:lineRule="auto"/>
        <w:rPr>
          <w:rFonts w:cstheme="minorHAnsi"/>
          <w:b/>
          <w:bCs/>
          <w:sz w:val="24"/>
          <w:szCs w:val="24"/>
        </w:rPr>
      </w:pPr>
      <w:r w:rsidRPr="003D3158">
        <w:rPr>
          <w:b/>
          <w:bCs/>
          <w:sz w:val="24"/>
          <w:szCs w:val="24"/>
        </w:rPr>
        <w:lastRenderedPageBreak/>
        <w:t>Requirement for substantial administration area at community health hub</w:t>
      </w:r>
    </w:p>
    <w:p w14:paraId="3541E82D" w14:textId="77777777" w:rsidR="00A7399B" w:rsidRDefault="00A7399B" w:rsidP="00513A8F">
      <w:pPr>
        <w:tabs>
          <w:tab w:val="num" w:pos="720"/>
        </w:tabs>
        <w:spacing w:after="0" w:line="240" w:lineRule="auto"/>
      </w:pPr>
    </w:p>
    <w:p w14:paraId="2D4E8642" w14:textId="607A8736" w:rsidR="00B75DCE" w:rsidRDefault="008278C2" w:rsidP="00ED5C67">
      <w:pPr>
        <w:tabs>
          <w:tab w:val="num" w:pos="720"/>
        </w:tabs>
        <w:spacing w:after="0" w:line="240" w:lineRule="auto"/>
      </w:pPr>
      <w:r>
        <w:t xml:space="preserve">Assuming for the moment that the case for 32 </w:t>
      </w:r>
      <w:r w:rsidR="00C03108">
        <w:t>clinical</w:t>
      </w:r>
      <w:r>
        <w:t xml:space="preserve"> rooms is proven</w:t>
      </w:r>
      <w:r w:rsidR="00345648">
        <w:t xml:space="preserve">, one </w:t>
      </w:r>
      <w:r w:rsidR="000E3ED0">
        <w:t xml:space="preserve">other </w:t>
      </w:r>
      <w:r w:rsidR="00345648">
        <w:t>issue with th</w:t>
      </w:r>
      <w:r w:rsidR="000E3ED0">
        <w:t xml:space="preserve">e </w:t>
      </w:r>
      <w:r w:rsidR="00345648">
        <w:t>development is th</w:t>
      </w:r>
      <w:r w:rsidR="000E3ED0">
        <w:t xml:space="preserve">e </w:t>
      </w:r>
      <w:r w:rsidR="00345648">
        <w:t>disproportionate space</w:t>
      </w:r>
      <w:r w:rsidR="00C8378E">
        <w:t xml:space="preserve"> for administration</w:t>
      </w:r>
      <w:r w:rsidR="00DE4FC9">
        <w:t xml:space="preserve">. </w:t>
      </w:r>
    </w:p>
    <w:p w14:paraId="576B4A19" w14:textId="77777777" w:rsidR="00B75DCE" w:rsidRDefault="00B75DCE" w:rsidP="00ED5C67">
      <w:pPr>
        <w:tabs>
          <w:tab w:val="num" w:pos="720"/>
        </w:tabs>
        <w:spacing w:after="0" w:line="240" w:lineRule="auto"/>
      </w:pPr>
    </w:p>
    <w:p w14:paraId="677F059B" w14:textId="38816778" w:rsidR="00CC43CD" w:rsidRDefault="00DE4FC9" w:rsidP="00ED5C67">
      <w:pPr>
        <w:tabs>
          <w:tab w:val="num" w:pos="720"/>
        </w:tabs>
        <w:spacing w:after="0" w:line="240" w:lineRule="auto"/>
        <w:rPr>
          <w:i/>
          <w:iCs/>
        </w:rPr>
      </w:pPr>
      <w:r>
        <w:t xml:space="preserve">This is </w:t>
      </w:r>
      <w:r w:rsidR="00ED5C67">
        <w:t xml:space="preserve">again </w:t>
      </w:r>
      <w:r>
        <w:t>inconsistent with the</w:t>
      </w:r>
      <w:r w:rsidR="008A0089">
        <w:t xml:space="preserve"> statement </w:t>
      </w:r>
      <w:r w:rsidR="00ED5C67" w:rsidRPr="004E5349">
        <w:rPr>
          <w:i/>
          <w:iCs/>
        </w:rPr>
        <w:t>“the practices’ emerging model of services</w:t>
      </w:r>
      <w:r w:rsidR="00ED5C67">
        <w:t xml:space="preserve"> </w:t>
      </w:r>
      <w:r w:rsidR="00ED5C67" w:rsidRPr="004E5349">
        <w:rPr>
          <w:i/>
          <w:iCs/>
        </w:rPr>
        <w:t>looks to reduce the space requirement through innovation, technology and greater flexibility in the multi-functional design of the clinical rooms</w:t>
      </w:r>
      <w:r w:rsidR="00ED5C67">
        <w:rPr>
          <w:i/>
          <w:iCs/>
        </w:rPr>
        <w:t>”.</w:t>
      </w:r>
    </w:p>
    <w:p w14:paraId="033EEB47" w14:textId="77777777" w:rsidR="00CC43CD" w:rsidRDefault="00CC43CD" w:rsidP="00ED5C67">
      <w:pPr>
        <w:tabs>
          <w:tab w:val="num" w:pos="720"/>
        </w:tabs>
        <w:spacing w:after="0" w:line="240" w:lineRule="auto"/>
        <w:rPr>
          <w:i/>
          <w:iCs/>
        </w:rPr>
      </w:pPr>
    </w:p>
    <w:p w14:paraId="14EB2A18" w14:textId="29044C78" w:rsidR="001D4156" w:rsidRDefault="008E1454" w:rsidP="001D4156">
      <w:pPr>
        <w:tabs>
          <w:tab w:val="num" w:pos="720"/>
        </w:tabs>
        <w:spacing w:after="0" w:line="240" w:lineRule="auto"/>
        <w:rPr>
          <w:b/>
          <w:bCs/>
        </w:rPr>
      </w:pPr>
      <w:r>
        <w:t xml:space="preserve">The proposed </w:t>
      </w:r>
      <w:r w:rsidR="000E3ED0">
        <w:t>a</w:t>
      </w:r>
      <w:r w:rsidR="00A934B5">
        <w:t>dministration space</w:t>
      </w:r>
      <w:r>
        <w:t xml:space="preserve"> is </w:t>
      </w:r>
      <w:r w:rsidR="000E3ED0">
        <w:t>very substantial (</w:t>
      </w:r>
      <w:r w:rsidR="00B75DCE">
        <w:t xml:space="preserve">130 </w:t>
      </w:r>
      <w:r>
        <w:t>m</w:t>
      </w:r>
      <w:r w:rsidRPr="00B75DCE">
        <w:rPr>
          <w:vertAlign w:val="superscript"/>
        </w:rPr>
        <w:t>2</w:t>
      </w:r>
      <w:r>
        <w:t>)</w:t>
      </w:r>
      <w:r w:rsidR="00E3599C">
        <w:t xml:space="preserve"> </w:t>
      </w:r>
      <w:r w:rsidR="000E3ED0">
        <w:t>with provision for</w:t>
      </w:r>
      <w:r w:rsidR="008C5573">
        <w:t xml:space="preserve"> 29 seats</w:t>
      </w:r>
      <w:r w:rsidR="00E3599C">
        <w:t xml:space="preserve"> presumably for 29 staff</w:t>
      </w:r>
      <w:r>
        <w:t>.</w:t>
      </w:r>
      <w:r w:rsidR="000E3ED0">
        <w:t xml:space="preserve"> T</w:t>
      </w:r>
      <w:r>
        <w:t xml:space="preserve">he wording on the floor layout </w:t>
      </w:r>
      <w:r w:rsidR="000E3ED0">
        <w:t>makes it</w:t>
      </w:r>
      <w:r w:rsidR="00984608">
        <w:t xml:space="preserve"> obvious that this </w:t>
      </w:r>
      <w:r w:rsidR="00B13049">
        <w:t>administration</w:t>
      </w:r>
      <w:r w:rsidR="00984608">
        <w:t xml:space="preserve"> space is not just for </w:t>
      </w:r>
      <w:r w:rsidR="00B13049">
        <w:t>Magnolia</w:t>
      </w:r>
      <w:r w:rsidR="00984608">
        <w:t xml:space="preserve"> </w:t>
      </w:r>
      <w:r w:rsidR="00627D9E">
        <w:t>H</w:t>
      </w:r>
      <w:r w:rsidR="00984608">
        <w:t xml:space="preserve">ouse and Kings Corner </w:t>
      </w:r>
      <w:r w:rsidR="00627D9E">
        <w:t xml:space="preserve">practices </w:t>
      </w:r>
      <w:r w:rsidR="00984608">
        <w:t xml:space="preserve">– but also </w:t>
      </w:r>
      <w:r w:rsidR="00CC43CD">
        <w:t xml:space="preserve">for </w:t>
      </w:r>
      <w:r w:rsidR="009C7302">
        <w:t xml:space="preserve">Green </w:t>
      </w:r>
      <w:r w:rsidR="00D37053">
        <w:t xml:space="preserve">Meadows and Ascot </w:t>
      </w:r>
      <w:r w:rsidR="00AE4CDA">
        <w:t>MC and Radnor House</w:t>
      </w:r>
      <w:r w:rsidR="00CC43CD">
        <w:t xml:space="preserve"> practices</w:t>
      </w:r>
      <w:r w:rsidR="00AE4CDA">
        <w:t>. This means that staff from these other practices in A</w:t>
      </w:r>
      <w:r w:rsidR="00311D8E">
        <w:t>s</w:t>
      </w:r>
      <w:r w:rsidR="00AE4CDA">
        <w:t xml:space="preserve">cot are travelling to </w:t>
      </w:r>
      <w:r w:rsidR="0016510B">
        <w:t>this site</w:t>
      </w:r>
      <w:r w:rsidR="00AE4CDA">
        <w:t xml:space="preserve"> to use</w:t>
      </w:r>
      <w:r w:rsidR="007B1BBA">
        <w:t xml:space="preserve"> th</w:t>
      </w:r>
      <w:r w:rsidR="00CC43CD">
        <w:t>is</w:t>
      </w:r>
      <w:r w:rsidR="007B1BBA">
        <w:t xml:space="preserve"> administration space. </w:t>
      </w:r>
      <w:r w:rsidR="00CC43CD">
        <w:t>This surely cannot be in keeping with</w:t>
      </w:r>
      <w:r w:rsidR="007B1BBA" w:rsidRPr="00FD5BEC">
        <w:t xml:space="preserve"> Green Belt </w:t>
      </w:r>
      <w:r w:rsidR="00916372">
        <w:t>requirement</w:t>
      </w:r>
      <w:r w:rsidR="007B1BBA">
        <w:t xml:space="preserve"> to show that t</w:t>
      </w:r>
      <w:r w:rsidR="00FD5BEC" w:rsidRPr="00FD5BEC">
        <w:t xml:space="preserve">he proposals meet a clear need, </w:t>
      </w:r>
      <w:r w:rsidR="00FD5BEC" w:rsidRPr="00FD5BEC">
        <w:rPr>
          <w:b/>
          <w:bCs/>
        </w:rPr>
        <w:t>no more and no less</w:t>
      </w:r>
      <w:r w:rsidR="00916372">
        <w:rPr>
          <w:b/>
          <w:bCs/>
        </w:rPr>
        <w:t>?</w:t>
      </w:r>
      <w:r w:rsidR="00311D8E">
        <w:rPr>
          <w:b/>
          <w:bCs/>
        </w:rPr>
        <w:t xml:space="preserve"> </w:t>
      </w:r>
      <w:r w:rsidR="009F5557">
        <w:rPr>
          <w:b/>
          <w:bCs/>
        </w:rPr>
        <w:br/>
      </w:r>
    </w:p>
    <w:p w14:paraId="53BFA560" w14:textId="2A9A0B60" w:rsidR="006D5E29" w:rsidRPr="006D5E29" w:rsidRDefault="006D5E29" w:rsidP="006D5E29">
      <w:pPr>
        <w:pStyle w:val="ListParagraph"/>
        <w:numPr>
          <w:ilvl w:val="0"/>
          <w:numId w:val="9"/>
        </w:numPr>
        <w:tabs>
          <w:tab w:val="num" w:pos="720"/>
        </w:tabs>
        <w:spacing w:after="0" w:line="240" w:lineRule="auto"/>
        <w:rPr>
          <w:b/>
          <w:bCs/>
          <w:sz w:val="28"/>
          <w:szCs w:val="28"/>
        </w:rPr>
      </w:pPr>
      <w:r w:rsidRPr="006D5E29">
        <w:rPr>
          <w:b/>
          <w:bCs/>
          <w:sz w:val="28"/>
          <w:szCs w:val="28"/>
        </w:rPr>
        <w:t>Car Parking and Impact on Surrounding Streets</w:t>
      </w:r>
      <w:r w:rsidRPr="006D5E29">
        <w:rPr>
          <w:b/>
          <w:bCs/>
          <w:sz w:val="28"/>
          <w:szCs w:val="28"/>
        </w:rPr>
        <w:br/>
      </w:r>
    </w:p>
    <w:p w14:paraId="5B18B64D" w14:textId="29C64C66" w:rsidR="006D5E29" w:rsidRPr="003D3158" w:rsidRDefault="006D5E29" w:rsidP="006D5E29">
      <w:pPr>
        <w:pStyle w:val="ListParagraph"/>
        <w:numPr>
          <w:ilvl w:val="1"/>
          <w:numId w:val="9"/>
        </w:numPr>
        <w:tabs>
          <w:tab w:val="num" w:pos="720"/>
        </w:tabs>
        <w:spacing w:after="0" w:line="240" w:lineRule="auto"/>
        <w:rPr>
          <w:b/>
          <w:bCs/>
          <w:sz w:val="24"/>
          <w:szCs w:val="24"/>
        </w:rPr>
      </w:pPr>
      <w:r w:rsidRPr="003D3158">
        <w:rPr>
          <w:rFonts w:cstheme="minorHAnsi"/>
          <w:b/>
          <w:bCs/>
          <w:sz w:val="24"/>
          <w:szCs w:val="24"/>
        </w:rPr>
        <w:t>Number of car parking spaces</w:t>
      </w:r>
      <w:r w:rsidRPr="003D3158">
        <w:rPr>
          <w:rFonts w:cstheme="minorHAnsi"/>
          <w:b/>
          <w:bCs/>
          <w:sz w:val="24"/>
          <w:szCs w:val="24"/>
        </w:rPr>
        <w:br/>
      </w:r>
    </w:p>
    <w:p w14:paraId="5E169CC9" w14:textId="3F96F4CE" w:rsidR="006D5E29" w:rsidRPr="006D5E29" w:rsidRDefault="006D5E29" w:rsidP="006D5E29">
      <w:pPr>
        <w:rPr>
          <w:rFonts w:cstheme="minorHAnsi"/>
        </w:rPr>
      </w:pPr>
      <w:r w:rsidRPr="006D5E29">
        <w:rPr>
          <w:rFonts w:cstheme="minorHAnsi"/>
        </w:rPr>
        <w:t xml:space="preserve">This application includes 96 car parking spaces (64 for patients including 5 disabled spaces) and 32 for </w:t>
      </w:r>
      <w:r w:rsidRPr="006D5E29">
        <w:t xml:space="preserve">Staff (include GPs, </w:t>
      </w:r>
      <w:r w:rsidR="005C3E12">
        <w:t>n</w:t>
      </w:r>
      <w:r w:rsidR="005C3E12" w:rsidRPr="006D5E29">
        <w:t>urses,</w:t>
      </w:r>
      <w:r w:rsidRPr="006D5E29">
        <w:t xml:space="preserve"> and </w:t>
      </w:r>
      <w:r w:rsidR="005745A3">
        <w:t>ad</w:t>
      </w:r>
      <w:r w:rsidRPr="006D5E29">
        <w:t>min</w:t>
      </w:r>
      <w:r w:rsidR="005745A3">
        <w:t>istration</w:t>
      </w:r>
      <w:r w:rsidRPr="006D5E29">
        <w:t xml:space="preserve">). This is based on the parking standards set out in RBWM’s Parking Strategy (2004) </w:t>
      </w:r>
      <w:r w:rsidR="005C3E12" w:rsidRPr="006D5E29">
        <w:t>i.e.</w:t>
      </w:r>
      <w:r w:rsidRPr="006D5E29">
        <w:t xml:space="preserve"> a maximum of 3 parking spaces per consultation room in Doctor’s Surgeries in areas of poor accessibility.</w:t>
      </w:r>
    </w:p>
    <w:p w14:paraId="2489ABAE" w14:textId="77777777" w:rsidR="006D5E29" w:rsidRPr="006D5E29" w:rsidRDefault="006D5E29" w:rsidP="006D5E29">
      <w:pPr>
        <w:rPr>
          <w:rFonts w:cstheme="minorHAnsi"/>
        </w:rPr>
      </w:pPr>
      <w:r w:rsidRPr="006D5E29">
        <w:rPr>
          <w:rFonts w:cstheme="minorHAnsi"/>
        </w:rPr>
        <w:t xml:space="preserve">According to the Transport Statement produced by Stantec… </w:t>
      </w:r>
    </w:p>
    <w:p w14:paraId="508BF1D3" w14:textId="77777777" w:rsidR="006D5E29" w:rsidRPr="006D5E29" w:rsidRDefault="006D5E29" w:rsidP="006D5E29">
      <w:pPr>
        <w:rPr>
          <w:i/>
          <w:iCs/>
        </w:rPr>
      </w:pPr>
      <w:r w:rsidRPr="006D5E29">
        <w:rPr>
          <w:rFonts w:cstheme="minorHAnsi"/>
          <w:i/>
          <w:iCs/>
        </w:rPr>
        <w:t>“</w:t>
      </w:r>
      <w:r w:rsidRPr="006D5E29">
        <w:rPr>
          <w:i/>
          <w:iCs/>
        </w:rPr>
        <w:t xml:space="preserve">the maximum level of staff to be working out of the proposed surgery at any one time will typically be around 75 FTE and on occasion this could increase to 90….”, </w:t>
      </w:r>
      <w:r w:rsidRPr="006D5E29">
        <w:t>and</w:t>
      </w:r>
    </w:p>
    <w:p w14:paraId="23C90DA9" w14:textId="77777777" w:rsidR="006D5E29" w:rsidRPr="006D5E29" w:rsidRDefault="006D5E29" w:rsidP="006D5E29">
      <w:pPr>
        <w:rPr>
          <w:i/>
          <w:iCs/>
        </w:rPr>
      </w:pPr>
      <w:r w:rsidRPr="006D5E29">
        <w:rPr>
          <w:rFonts w:cstheme="minorHAnsi"/>
          <w:i/>
          <w:iCs/>
        </w:rPr>
        <w:t>“</w:t>
      </w:r>
      <w:r w:rsidRPr="006D5E29">
        <w:rPr>
          <w:i/>
          <w:iCs/>
        </w:rPr>
        <w:t>It is proposed that the new building will accommodate 331 m</w:t>
      </w:r>
      <w:r w:rsidRPr="006D5E29">
        <w:rPr>
          <w:i/>
          <w:iCs/>
          <w:vertAlign w:val="superscript"/>
        </w:rPr>
        <w:t>2</w:t>
      </w:r>
      <w:r w:rsidRPr="006D5E29">
        <w:rPr>
          <w:i/>
          <w:iCs/>
        </w:rPr>
        <w:t xml:space="preserve"> administrative space at first floor level. It is anticipated that 26 administration staff from Kings Road and Magnolia House surgeries will be relocated within the new office space. The FTE of the relocated admin staff is 23”, </w:t>
      </w:r>
      <w:r w:rsidRPr="006D5E29">
        <w:t>and</w:t>
      </w:r>
    </w:p>
    <w:p w14:paraId="731DD659" w14:textId="77777777" w:rsidR="006D5E29" w:rsidRPr="006D5E29" w:rsidRDefault="006D5E29" w:rsidP="006D5E29">
      <w:pPr>
        <w:rPr>
          <w:i/>
          <w:iCs/>
        </w:rPr>
      </w:pPr>
      <w:r w:rsidRPr="006D5E29">
        <w:rPr>
          <w:i/>
          <w:iCs/>
        </w:rPr>
        <w:t>“The 331sq.m of admin/office space proposed on the first floor of the new surgery is expected to be predominately an ancillary use to the primary ground floor facilities as such parking has not been considered in addition to those associated with clinical uses.”</w:t>
      </w:r>
    </w:p>
    <w:p w14:paraId="5AB4F8E2" w14:textId="5972E787" w:rsidR="006D5E29" w:rsidRPr="006D5E29" w:rsidRDefault="006D5E29" w:rsidP="006D5E29">
      <w:r w:rsidRPr="006D5E29">
        <w:t xml:space="preserve">These statements would appear to be incompatible with a staff allocation of only 32 parking spaces. Are we expected to believe these 32 parking spaces will </w:t>
      </w:r>
      <w:r w:rsidR="005C3E12" w:rsidRPr="006D5E29">
        <w:t>accommodate: -</w:t>
      </w:r>
    </w:p>
    <w:p w14:paraId="6BBCED4F" w14:textId="77777777" w:rsidR="006D5E29" w:rsidRPr="006D5E29" w:rsidRDefault="006D5E29" w:rsidP="006D5E29">
      <w:pPr>
        <w:numPr>
          <w:ilvl w:val="0"/>
          <w:numId w:val="11"/>
        </w:numPr>
        <w:contextualSpacing/>
      </w:pPr>
      <w:r w:rsidRPr="006D5E29">
        <w:t>11 FTEs (GPs and Specialists)</w:t>
      </w:r>
    </w:p>
    <w:p w14:paraId="49E8EF87" w14:textId="77777777" w:rsidR="006D5E29" w:rsidRPr="006D5E29" w:rsidRDefault="006D5E29" w:rsidP="006D5E29">
      <w:pPr>
        <w:numPr>
          <w:ilvl w:val="0"/>
          <w:numId w:val="11"/>
        </w:numPr>
        <w:contextualSpacing/>
      </w:pPr>
      <w:r w:rsidRPr="006D5E29">
        <w:t>8 FTEs (Nurses)</w:t>
      </w:r>
    </w:p>
    <w:p w14:paraId="0839E364" w14:textId="77777777" w:rsidR="006D5E29" w:rsidRPr="006D5E29" w:rsidRDefault="006D5E29" w:rsidP="006D5E29">
      <w:pPr>
        <w:numPr>
          <w:ilvl w:val="0"/>
          <w:numId w:val="11"/>
        </w:numPr>
        <w:contextualSpacing/>
      </w:pPr>
      <w:r w:rsidRPr="006D5E29">
        <w:t>18 FTEs (BHFT (Integrated Cluster Sessions))</w:t>
      </w:r>
    </w:p>
    <w:p w14:paraId="2FD52289" w14:textId="72F1A71C" w:rsidR="006D5E29" w:rsidRPr="006D5E29" w:rsidRDefault="006D5E29" w:rsidP="006D5E29">
      <w:pPr>
        <w:numPr>
          <w:ilvl w:val="0"/>
          <w:numId w:val="11"/>
        </w:numPr>
        <w:contextualSpacing/>
      </w:pPr>
      <w:r w:rsidRPr="006D5E29">
        <w:t>15 FTEs (Additional Recruitment</w:t>
      </w:r>
      <w:r w:rsidR="008614CC">
        <w:t>)</w:t>
      </w:r>
    </w:p>
    <w:p w14:paraId="1E9AA5E2" w14:textId="77777777" w:rsidR="006D5E29" w:rsidRPr="006D5E29" w:rsidRDefault="006D5E29" w:rsidP="006D5E29">
      <w:pPr>
        <w:numPr>
          <w:ilvl w:val="0"/>
          <w:numId w:val="11"/>
        </w:numPr>
        <w:contextualSpacing/>
      </w:pPr>
      <w:r w:rsidRPr="006D5E29">
        <w:t>23FTEs (Administrators)</w:t>
      </w:r>
    </w:p>
    <w:p w14:paraId="2DDA86DA" w14:textId="5EBA673E" w:rsidR="006D5E29" w:rsidRPr="006D5E29" w:rsidRDefault="006D5E29" w:rsidP="006D5E29">
      <w:pPr>
        <w:ind w:left="360"/>
      </w:pPr>
      <w:r w:rsidRPr="006D5E29">
        <w:t xml:space="preserve">Total = 75FTEs </w:t>
      </w:r>
      <w:r w:rsidR="0016510B">
        <w:t>(</w:t>
      </w:r>
      <w:r w:rsidRPr="006D5E29">
        <w:t>with a peak of 90 FTEs</w:t>
      </w:r>
      <w:r w:rsidR="0016510B">
        <w:t>)</w:t>
      </w:r>
    </w:p>
    <w:p w14:paraId="33741211" w14:textId="02605C0E" w:rsidR="006D5E29" w:rsidRDefault="006D5E29" w:rsidP="006D5E29">
      <w:r w:rsidRPr="006D5E29">
        <w:t xml:space="preserve">Even with walking, cycling, public transport, restricted car park access and car-sharing, this throws serious doubt on the ability of this </w:t>
      </w:r>
      <w:r w:rsidR="008614CC">
        <w:t>c</w:t>
      </w:r>
      <w:r w:rsidRPr="006D5E29">
        <w:t xml:space="preserve">ommunity </w:t>
      </w:r>
      <w:r w:rsidR="008614CC">
        <w:t>h</w:t>
      </w:r>
      <w:r w:rsidRPr="006D5E29">
        <w:t xml:space="preserve">ealth </w:t>
      </w:r>
      <w:r w:rsidR="008614CC">
        <w:t>h</w:t>
      </w:r>
      <w:r w:rsidRPr="006D5E29">
        <w:t>ub to function in the spaces that have been allocated.</w:t>
      </w:r>
      <w:r w:rsidR="007E3EB4">
        <w:t xml:space="preserve"> It is </w:t>
      </w:r>
      <w:r w:rsidR="00CB5B2C">
        <w:t>hoped therefore that adherence to the proposed Green Travel Plan will</w:t>
      </w:r>
      <w:r w:rsidR="00B1251C">
        <w:t xml:space="preserve"> lead to efficient usage of the available </w:t>
      </w:r>
      <w:r w:rsidR="005313C2">
        <w:t>car par</w:t>
      </w:r>
      <w:r w:rsidR="0069184B">
        <w:t>k</w:t>
      </w:r>
      <w:r w:rsidR="00A60514">
        <w:t xml:space="preserve"> </w:t>
      </w:r>
      <w:r w:rsidR="00B1251C">
        <w:t>spaces.</w:t>
      </w:r>
    </w:p>
    <w:p w14:paraId="06E5EAD9" w14:textId="625BCB09" w:rsidR="006D5E29" w:rsidRPr="003D3158" w:rsidRDefault="006D5E29" w:rsidP="006D5E29">
      <w:pPr>
        <w:pStyle w:val="ListParagraph"/>
        <w:numPr>
          <w:ilvl w:val="1"/>
          <w:numId w:val="9"/>
        </w:numPr>
        <w:rPr>
          <w:b/>
          <w:bCs/>
          <w:sz w:val="24"/>
          <w:szCs w:val="24"/>
        </w:rPr>
      </w:pPr>
      <w:r w:rsidRPr="003D3158">
        <w:rPr>
          <w:b/>
          <w:bCs/>
          <w:sz w:val="24"/>
          <w:szCs w:val="24"/>
        </w:rPr>
        <w:lastRenderedPageBreak/>
        <w:t xml:space="preserve">Car </w:t>
      </w:r>
      <w:r w:rsidR="003D3158">
        <w:rPr>
          <w:b/>
          <w:bCs/>
          <w:sz w:val="24"/>
          <w:szCs w:val="24"/>
        </w:rPr>
        <w:t>p</w:t>
      </w:r>
      <w:r w:rsidRPr="003D3158">
        <w:rPr>
          <w:b/>
          <w:bCs/>
          <w:sz w:val="24"/>
          <w:szCs w:val="24"/>
        </w:rPr>
        <w:t xml:space="preserve">arking </w:t>
      </w:r>
      <w:r w:rsidR="003D3158">
        <w:rPr>
          <w:b/>
          <w:bCs/>
          <w:sz w:val="24"/>
          <w:szCs w:val="24"/>
        </w:rPr>
        <w:t>o</w:t>
      </w:r>
      <w:r w:rsidRPr="003D3158">
        <w:rPr>
          <w:b/>
          <w:bCs/>
          <w:sz w:val="24"/>
          <w:szCs w:val="24"/>
        </w:rPr>
        <w:t xml:space="preserve">verflow from the </w:t>
      </w:r>
      <w:r w:rsidR="003D3158">
        <w:rPr>
          <w:b/>
          <w:bCs/>
          <w:sz w:val="24"/>
          <w:szCs w:val="24"/>
        </w:rPr>
        <w:t>c</w:t>
      </w:r>
      <w:r w:rsidRPr="003D3158">
        <w:rPr>
          <w:b/>
          <w:bCs/>
          <w:sz w:val="24"/>
          <w:szCs w:val="24"/>
        </w:rPr>
        <w:t xml:space="preserve">ommunity </w:t>
      </w:r>
      <w:r w:rsidR="003D3158">
        <w:rPr>
          <w:b/>
          <w:bCs/>
          <w:sz w:val="24"/>
          <w:szCs w:val="24"/>
        </w:rPr>
        <w:t>h</w:t>
      </w:r>
      <w:r w:rsidRPr="003D3158">
        <w:rPr>
          <w:b/>
          <w:bCs/>
          <w:sz w:val="24"/>
          <w:szCs w:val="24"/>
        </w:rPr>
        <w:t xml:space="preserve">ealth </w:t>
      </w:r>
      <w:r w:rsidR="003D3158">
        <w:rPr>
          <w:b/>
          <w:bCs/>
          <w:sz w:val="24"/>
          <w:szCs w:val="24"/>
        </w:rPr>
        <w:t>h</w:t>
      </w:r>
      <w:r w:rsidRPr="003D3158">
        <w:rPr>
          <w:b/>
          <w:bCs/>
          <w:sz w:val="24"/>
          <w:szCs w:val="24"/>
        </w:rPr>
        <w:t>ub</w:t>
      </w:r>
    </w:p>
    <w:p w14:paraId="3D6F440D" w14:textId="77777777" w:rsidR="006D5E29" w:rsidRPr="006D5E29" w:rsidRDefault="006D5E29" w:rsidP="006D5E29">
      <w:r w:rsidRPr="006D5E29">
        <w:t>Where will all the staff park when the staff car parking area is full? One option is to overflow into the parking spaces for patients. Alternatively, drivers will seek to park in the surrounding streets.</w:t>
      </w:r>
    </w:p>
    <w:p w14:paraId="7092698E" w14:textId="5F0FFEC1" w:rsidR="006D5E29" w:rsidRPr="006D5E29" w:rsidRDefault="006D5E29" w:rsidP="006D5E29">
      <w:r w:rsidRPr="006D5E29">
        <w:t>The Transport Statement proposes a number of road improvements to ease access. These are</w:t>
      </w:r>
      <w:r w:rsidR="00961056">
        <w:t>:</w:t>
      </w:r>
    </w:p>
    <w:p w14:paraId="3BE86DB0" w14:textId="77777777" w:rsidR="006D5E29" w:rsidRPr="006D5E29" w:rsidRDefault="006D5E29" w:rsidP="006D5E29">
      <w:pPr>
        <w:numPr>
          <w:ilvl w:val="0"/>
          <w:numId w:val="12"/>
        </w:numPr>
        <w:contextualSpacing/>
      </w:pPr>
      <w:r w:rsidRPr="006D5E29">
        <w:t>Widening footway along Rise Road</w:t>
      </w:r>
    </w:p>
    <w:p w14:paraId="5EC4D193" w14:textId="77777777" w:rsidR="006D5E29" w:rsidRPr="006D5E29" w:rsidRDefault="006D5E29" w:rsidP="006D5E29">
      <w:pPr>
        <w:numPr>
          <w:ilvl w:val="0"/>
          <w:numId w:val="12"/>
        </w:numPr>
        <w:contextualSpacing/>
      </w:pPr>
      <w:r w:rsidRPr="006D5E29">
        <w:t>New Pedestrian Crossing</w:t>
      </w:r>
    </w:p>
    <w:p w14:paraId="3FA8F009" w14:textId="77777777" w:rsidR="006D5E29" w:rsidRPr="006D5E29" w:rsidRDefault="006D5E29" w:rsidP="006D5E29">
      <w:pPr>
        <w:numPr>
          <w:ilvl w:val="0"/>
          <w:numId w:val="12"/>
        </w:numPr>
        <w:contextualSpacing/>
      </w:pPr>
      <w:r w:rsidRPr="006D5E29">
        <w:t>Speed cushions along Rise road</w:t>
      </w:r>
    </w:p>
    <w:p w14:paraId="4F0D57DE" w14:textId="4D1F3313" w:rsidR="006D5E29" w:rsidRDefault="006D5E29" w:rsidP="006D5E29">
      <w:pPr>
        <w:numPr>
          <w:ilvl w:val="0"/>
          <w:numId w:val="12"/>
        </w:numPr>
        <w:contextualSpacing/>
      </w:pPr>
      <w:r w:rsidRPr="006D5E29">
        <w:t>Relocation of 30mph sign.</w:t>
      </w:r>
    </w:p>
    <w:p w14:paraId="40F74CC6" w14:textId="77777777" w:rsidR="0016510B" w:rsidRPr="006D5E29" w:rsidRDefault="0016510B" w:rsidP="0016510B">
      <w:pPr>
        <w:contextualSpacing/>
      </w:pPr>
    </w:p>
    <w:p w14:paraId="4DF0CE3E" w14:textId="77777777" w:rsidR="006D5E29" w:rsidRPr="006D5E29" w:rsidRDefault="006D5E29" w:rsidP="006D5E29">
      <w:r w:rsidRPr="006D5E29">
        <w:t>No mention is made of the impact of potential parking problems on Rise Road, Park Crescent, Lynwood Crescent and other adjoining roads. These roads already struggle to accommodate residents’ vehicles.</w:t>
      </w:r>
    </w:p>
    <w:p w14:paraId="2A24FE43" w14:textId="221D6FCF" w:rsidR="006D5E29" w:rsidRPr="006D5E29" w:rsidRDefault="006D5E29" w:rsidP="006D5E29">
      <w:r w:rsidRPr="006D5E29">
        <w:t>Some mitigation steps need to be considered to prevent the</w:t>
      </w:r>
      <w:r w:rsidR="008E4F0A">
        <w:t xml:space="preserve">se streets </w:t>
      </w:r>
      <w:r w:rsidRPr="006D5E29">
        <w:t>turning into car parking overspill areas.</w:t>
      </w:r>
    </w:p>
    <w:p w14:paraId="683B0CBB" w14:textId="78E1CB3C" w:rsidR="006D5E29" w:rsidRDefault="006D5E29" w:rsidP="006D5E29">
      <w:pPr>
        <w:rPr>
          <w:rFonts w:cstheme="minorHAnsi"/>
          <w:color w:val="333333"/>
          <w:shd w:val="clear" w:color="auto" w:fill="FFFFFF"/>
        </w:rPr>
      </w:pPr>
      <w:r w:rsidRPr="006D5E29">
        <w:rPr>
          <w:rFonts w:cstheme="minorHAnsi"/>
        </w:rPr>
        <w:t xml:space="preserve">Although we see the merit of </w:t>
      </w:r>
      <w:r w:rsidRPr="006D5E29">
        <w:rPr>
          <w:rFonts w:cstheme="minorHAnsi"/>
          <w:color w:val="333333"/>
          <w:shd w:val="clear" w:color="auto" w:fill="FFFFFF"/>
        </w:rPr>
        <w:t xml:space="preserve">the </w:t>
      </w:r>
      <w:r w:rsidR="005C3E12" w:rsidRPr="006D5E29">
        <w:rPr>
          <w:rFonts w:cstheme="minorHAnsi"/>
          <w:color w:val="333333"/>
          <w:shd w:val="clear" w:color="auto" w:fill="FFFFFF"/>
        </w:rPr>
        <w:t>30-mph</w:t>
      </w:r>
      <w:r w:rsidRPr="006D5E29">
        <w:rPr>
          <w:rFonts w:cstheme="minorHAnsi"/>
          <w:color w:val="333333"/>
          <w:shd w:val="clear" w:color="auto" w:fill="FFFFFF"/>
        </w:rPr>
        <w:t xml:space="preserve"> limit and the zebra crossing, we would question the need for traffic "cushions" (assumed to be "</w:t>
      </w:r>
      <w:r w:rsidR="00AA7813">
        <w:rPr>
          <w:rFonts w:cstheme="minorHAnsi"/>
          <w:color w:val="333333"/>
          <w:shd w:val="clear" w:color="auto" w:fill="FFFFFF"/>
        </w:rPr>
        <w:t>s</w:t>
      </w:r>
      <w:r w:rsidRPr="006D5E29">
        <w:rPr>
          <w:rFonts w:cstheme="minorHAnsi"/>
          <w:color w:val="333333"/>
          <w:shd w:val="clear" w:color="auto" w:fill="FFFFFF"/>
        </w:rPr>
        <w:t>peed bumps") along Rise Road.</w:t>
      </w:r>
    </w:p>
    <w:p w14:paraId="3C644B35" w14:textId="08724B72" w:rsidR="006D5E29" w:rsidRPr="003D3158" w:rsidRDefault="006D5E29" w:rsidP="006D5E29">
      <w:pPr>
        <w:pStyle w:val="ListParagraph"/>
        <w:numPr>
          <w:ilvl w:val="1"/>
          <w:numId w:val="9"/>
        </w:numPr>
        <w:rPr>
          <w:rFonts w:cstheme="minorHAnsi"/>
          <w:sz w:val="24"/>
          <w:szCs w:val="24"/>
        </w:rPr>
      </w:pPr>
      <w:r w:rsidRPr="003D3158">
        <w:rPr>
          <w:b/>
          <w:bCs/>
          <w:sz w:val="24"/>
          <w:szCs w:val="24"/>
        </w:rPr>
        <w:t>Car Parking Overflow from BEN Lynwood Care Home</w:t>
      </w:r>
    </w:p>
    <w:p w14:paraId="6EA611F5" w14:textId="30F9609E" w:rsidR="006D5E29" w:rsidRPr="006D5E29" w:rsidRDefault="006D5E29" w:rsidP="006D5E29">
      <w:pPr>
        <w:rPr>
          <w:rFonts w:cstheme="minorHAnsi"/>
        </w:rPr>
      </w:pPr>
      <w:r w:rsidRPr="006D5E29">
        <w:rPr>
          <w:rFonts w:cstheme="minorHAnsi"/>
        </w:rPr>
        <w:t xml:space="preserve">The Parish Council could see little reference to car parking on the site only being applicable to visitors to the </w:t>
      </w:r>
      <w:r w:rsidR="008614CC">
        <w:rPr>
          <w:rFonts w:cstheme="minorHAnsi"/>
        </w:rPr>
        <w:t>co</w:t>
      </w:r>
      <w:r w:rsidRPr="006D5E29">
        <w:rPr>
          <w:rFonts w:cstheme="minorHAnsi"/>
        </w:rPr>
        <w:t xml:space="preserve">mmunity </w:t>
      </w:r>
      <w:r w:rsidR="008614CC">
        <w:rPr>
          <w:rFonts w:cstheme="minorHAnsi"/>
        </w:rPr>
        <w:t>health h</w:t>
      </w:r>
      <w:r w:rsidRPr="006D5E29">
        <w:rPr>
          <w:rFonts w:cstheme="minorHAnsi"/>
        </w:rPr>
        <w:t xml:space="preserve">ub.  The overspill of parking from the current Ben Lynwood site on to the Green Belt in exactly the same location as the proposed new </w:t>
      </w:r>
      <w:r w:rsidR="008614CC">
        <w:rPr>
          <w:rFonts w:cstheme="minorHAnsi"/>
        </w:rPr>
        <w:t>c</w:t>
      </w:r>
      <w:r w:rsidRPr="006D5E29">
        <w:rPr>
          <w:rFonts w:cstheme="minorHAnsi"/>
        </w:rPr>
        <w:t xml:space="preserve">ommunity </w:t>
      </w:r>
      <w:r w:rsidR="008614CC">
        <w:rPr>
          <w:rFonts w:cstheme="minorHAnsi"/>
        </w:rPr>
        <w:t>health hub c</w:t>
      </w:r>
      <w:r w:rsidRPr="006D5E29">
        <w:rPr>
          <w:rFonts w:cstheme="minorHAnsi"/>
        </w:rPr>
        <w:t xml:space="preserve">ar park area has been well documented.  This relates to planning applications 11/03236 and 13/01098 where temporary parking for construction traffic (that was allowed on the Green Belt) has not been adhered to. </w:t>
      </w:r>
    </w:p>
    <w:p w14:paraId="740BDECF" w14:textId="0C175960" w:rsidR="006D5E29" w:rsidRDefault="006D5E29" w:rsidP="006D5E29">
      <w:pPr>
        <w:rPr>
          <w:rFonts w:cstheme="minorHAnsi"/>
        </w:rPr>
      </w:pPr>
      <w:r w:rsidRPr="006D5E29">
        <w:rPr>
          <w:rFonts w:cstheme="minorHAnsi"/>
        </w:rPr>
        <w:t xml:space="preserve">Instead, the Green Belt in this location has become a permanent car park for employees of Ben Lynwood. This has been subject to planning </w:t>
      </w:r>
      <w:r w:rsidR="008614CC">
        <w:rPr>
          <w:rFonts w:cstheme="minorHAnsi"/>
        </w:rPr>
        <w:t>e</w:t>
      </w:r>
      <w:r w:rsidRPr="006D5E29">
        <w:rPr>
          <w:rFonts w:cstheme="minorHAnsi"/>
        </w:rPr>
        <w:t xml:space="preserve">nforcement notices being issued. If this application </w:t>
      </w:r>
      <w:r w:rsidR="0072199D">
        <w:rPr>
          <w:rFonts w:cstheme="minorHAnsi"/>
        </w:rPr>
        <w:t xml:space="preserve">is approved </w:t>
      </w:r>
      <w:r w:rsidRPr="006D5E29">
        <w:rPr>
          <w:rFonts w:cstheme="minorHAnsi"/>
        </w:rPr>
        <w:t xml:space="preserve">the Parish Council would strongly request that strict parking guidelines are </w:t>
      </w:r>
      <w:r w:rsidR="0072199D">
        <w:rPr>
          <w:rFonts w:cstheme="minorHAnsi"/>
        </w:rPr>
        <w:t xml:space="preserve">enforced </w:t>
      </w:r>
      <w:r w:rsidR="00312256">
        <w:rPr>
          <w:rFonts w:cstheme="minorHAnsi"/>
        </w:rPr>
        <w:t>through the planning process</w:t>
      </w:r>
      <w:r w:rsidRPr="006D5E29">
        <w:rPr>
          <w:rFonts w:cstheme="minorHAnsi"/>
        </w:rPr>
        <w:t>. It is crucial that the Green Belt does not become a car park for Ben Lynwood employees</w:t>
      </w:r>
      <w:r w:rsidR="008614CC">
        <w:rPr>
          <w:rFonts w:cstheme="minorHAnsi"/>
        </w:rPr>
        <w:t xml:space="preserve"> and </w:t>
      </w:r>
      <w:r w:rsidRPr="006D5E29">
        <w:rPr>
          <w:rFonts w:cstheme="minorHAnsi"/>
        </w:rPr>
        <w:t xml:space="preserve">must </w:t>
      </w:r>
      <w:r w:rsidR="008614CC">
        <w:rPr>
          <w:rFonts w:cstheme="minorHAnsi"/>
        </w:rPr>
        <w:t>function as</w:t>
      </w:r>
      <w:r w:rsidRPr="006D5E29">
        <w:rPr>
          <w:rFonts w:cstheme="minorHAnsi"/>
        </w:rPr>
        <w:t xml:space="preserve"> a car park exclusively for the </w:t>
      </w:r>
      <w:r w:rsidR="008614CC">
        <w:rPr>
          <w:rFonts w:cstheme="minorHAnsi"/>
        </w:rPr>
        <w:t>c</w:t>
      </w:r>
      <w:r w:rsidRPr="006D5E29">
        <w:rPr>
          <w:rFonts w:cstheme="minorHAnsi"/>
        </w:rPr>
        <w:t xml:space="preserve">ommunity </w:t>
      </w:r>
      <w:r w:rsidR="008614CC">
        <w:rPr>
          <w:rFonts w:cstheme="minorHAnsi"/>
        </w:rPr>
        <w:t>health h</w:t>
      </w:r>
      <w:r w:rsidRPr="006D5E29">
        <w:rPr>
          <w:rFonts w:cstheme="minorHAnsi"/>
        </w:rPr>
        <w:t>ub patients and staff.</w:t>
      </w:r>
    </w:p>
    <w:p w14:paraId="15578391" w14:textId="77777777" w:rsidR="0016510B" w:rsidRDefault="0016510B" w:rsidP="006D5E29">
      <w:pPr>
        <w:rPr>
          <w:rFonts w:cstheme="minorHAnsi"/>
        </w:rPr>
      </w:pPr>
    </w:p>
    <w:p w14:paraId="04353234" w14:textId="49084B01" w:rsidR="002877F5" w:rsidRPr="00384DC4" w:rsidRDefault="002877F5" w:rsidP="002877F5">
      <w:pPr>
        <w:pStyle w:val="ListParagraph"/>
        <w:numPr>
          <w:ilvl w:val="0"/>
          <w:numId w:val="9"/>
        </w:numPr>
        <w:rPr>
          <w:rFonts w:cstheme="minorHAnsi"/>
          <w:b/>
          <w:bCs/>
          <w:sz w:val="28"/>
          <w:szCs w:val="28"/>
        </w:rPr>
      </w:pPr>
      <w:r w:rsidRPr="002877F5">
        <w:rPr>
          <w:rFonts w:cstheme="minorHAnsi"/>
          <w:b/>
          <w:bCs/>
          <w:sz w:val="28"/>
          <w:szCs w:val="28"/>
        </w:rPr>
        <w:t>Environmental concerns</w:t>
      </w:r>
    </w:p>
    <w:p w14:paraId="5E324D83" w14:textId="0E681A63" w:rsidR="00384DC4" w:rsidRPr="003D3158" w:rsidRDefault="00384DC4" w:rsidP="00384DC4">
      <w:pPr>
        <w:pStyle w:val="ListParagraph"/>
        <w:numPr>
          <w:ilvl w:val="1"/>
          <w:numId w:val="9"/>
        </w:numPr>
        <w:rPr>
          <w:rFonts w:cstheme="minorHAnsi"/>
          <w:b/>
          <w:bCs/>
          <w:sz w:val="24"/>
          <w:szCs w:val="24"/>
        </w:rPr>
      </w:pPr>
      <w:r w:rsidRPr="003D3158">
        <w:rPr>
          <w:rFonts w:cstheme="minorHAnsi"/>
          <w:b/>
          <w:bCs/>
          <w:sz w:val="24"/>
          <w:szCs w:val="24"/>
        </w:rPr>
        <w:t>Loss of significant TPO trees</w:t>
      </w:r>
    </w:p>
    <w:p w14:paraId="28C7B789" w14:textId="1B49C54C" w:rsidR="00686DE8" w:rsidRDefault="00686DE8" w:rsidP="00686DE8">
      <w:pPr>
        <w:rPr>
          <w:rFonts w:cstheme="minorHAnsi"/>
        </w:rPr>
      </w:pPr>
      <w:r w:rsidRPr="00686DE8">
        <w:rPr>
          <w:rFonts w:cstheme="minorHAnsi"/>
        </w:rPr>
        <w:t xml:space="preserve">A significant number of high category </w:t>
      </w:r>
      <w:r w:rsidR="00060622">
        <w:rPr>
          <w:rFonts w:cstheme="minorHAnsi"/>
        </w:rPr>
        <w:t xml:space="preserve">TPO </w:t>
      </w:r>
      <w:r w:rsidRPr="00686DE8">
        <w:rPr>
          <w:rFonts w:cstheme="minorHAnsi"/>
        </w:rPr>
        <w:t>trees</w:t>
      </w:r>
      <w:r w:rsidR="00060622">
        <w:rPr>
          <w:rFonts w:cstheme="minorHAnsi"/>
        </w:rPr>
        <w:t xml:space="preserve"> that are</w:t>
      </w:r>
      <w:r w:rsidRPr="00686DE8">
        <w:rPr>
          <w:rFonts w:cstheme="minorHAnsi"/>
        </w:rPr>
        <w:t xml:space="preserve"> in full public view are planned to be felled for the </w:t>
      </w:r>
      <w:r w:rsidR="00060622">
        <w:rPr>
          <w:rFonts w:cstheme="minorHAnsi"/>
        </w:rPr>
        <w:t>c</w:t>
      </w:r>
      <w:r w:rsidRPr="00686DE8">
        <w:rPr>
          <w:rFonts w:cstheme="minorHAnsi"/>
        </w:rPr>
        <w:t xml:space="preserve">ommunity </w:t>
      </w:r>
      <w:r w:rsidR="00060622">
        <w:rPr>
          <w:rFonts w:cstheme="minorHAnsi"/>
        </w:rPr>
        <w:t xml:space="preserve">health </w:t>
      </w:r>
      <w:r w:rsidRPr="00686DE8">
        <w:rPr>
          <w:rFonts w:cstheme="minorHAnsi"/>
        </w:rPr>
        <w:t>hub and car park. These are listed in the chart below.</w:t>
      </w:r>
    </w:p>
    <w:tbl>
      <w:tblPr>
        <w:tblStyle w:val="TableGrid"/>
        <w:tblW w:w="9351" w:type="dxa"/>
        <w:tblLook w:val="04A0" w:firstRow="1" w:lastRow="0" w:firstColumn="1" w:lastColumn="0" w:noHBand="0" w:noVBand="1"/>
      </w:tblPr>
      <w:tblGrid>
        <w:gridCol w:w="1255"/>
        <w:gridCol w:w="1895"/>
        <w:gridCol w:w="1009"/>
        <w:gridCol w:w="1279"/>
        <w:gridCol w:w="3913"/>
      </w:tblGrid>
      <w:tr w:rsidR="008F4211" w14:paraId="0E8AF980" w14:textId="77777777" w:rsidTr="006B3F89">
        <w:tc>
          <w:tcPr>
            <w:tcW w:w="9351" w:type="dxa"/>
            <w:gridSpan w:val="5"/>
          </w:tcPr>
          <w:p w14:paraId="3FFAAB50" w14:textId="77777777" w:rsidR="008F4211" w:rsidRPr="00A65950" w:rsidRDefault="008F4211" w:rsidP="006B3F89">
            <w:pPr>
              <w:jc w:val="center"/>
              <w:rPr>
                <w:b/>
                <w:bCs/>
                <w:sz w:val="28"/>
                <w:szCs w:val="28"/>
              </w:rPr>
            </w:pPr>
            <w:r w:rsidRPr="00A65950">
              <w:rPr>
                <w:b/>
                <w:bCs/>
                <w:sz w:val="28"/>
                <w:szCs w:val="28"/>
              </w:rPr>
              <w:t>Trees scheduled for felling</w:t>
            </w:r>
          </w:p>
        </w:tc>
      </w:tr>
      <w:tr w:rsidR="008F4211" w14:paraId="6A22EBAE" w14:textId="77777777" w:rsidTr="006B3F89">
        <w:tc>
          <w:tcPr>
            <w:tcW w:w="1255" w:type="dxa"/>
          </w:tcPr>
          <w:p w14:paraId="04926A63" w14:textId="77777777" w:rsidR="008F4211" w:rsidRPr="00DD2D75" w:rsidRDefault="008F4211" w:rsidP="006B3F89">
            <w:pPr>
              <w:jc w:val="center"/>
              <w:rPr>
                <w:b/>
                <w:bCs/>
              </w:rPr>
            </w:pPr>
            <w:r w:rsidRPr="00DD2D75">
              <w:rPr>
                <w:b/>
                <w:bCs/>
              </w:rPr>
              <w:t>Tree number</w:t>
            </w:r>
          </w:p>
        </w:tc>
        <w:tc>
          <w:tcPr>
            <w:tcW w:w="1895" w:type="dxa"/>
          </w:tcPr>
          <w:p w14:paraId="00080500" w14:textId="77777777" w:rsidR="008F4211" w:rsidRPr="00DD2D75" w:rsidRDefault="008F4211" w:rsidP="006B3F89">
            <w:pPr>
              <w:jc w:val="center"/>
              <w:rPr>
                <w:b/>
                <w:bCs/>
              </w:rPr>
            </w:pPr>
            <w:r w:rsidRPr="00DD2D75">
              <w:rPr>
                <w:b/>
                <w:bCs/>
              </w:rPr>
              <w:t>Tree type</w:t>
            </w:r>
          </w:p>
        </w:tc>
        <w:tc>
          <w:tcPr>
            <w:tcW w:w="1009" w:type="dxa"/>
          </w:tcPr>
          <w:p w14:paraId="4EB48AD8" w14:textId="77777777" w:rsidR="008F4211" w:rsidRPr="00DD2D75" w:rsidRDefault="008F4211" w:rsidP="006B3F89">
            <w:pPr>
              <w:jc w:val="center"/>
              <w:rPr>
                <w:b/>
                <w:bCs/>
              </w:rPr>
            </w:pPr>
            <w:r w:rsidRPr="00DD2D75">
              <w:rPr>
                <w:b/>
                <w:bCs/>
              </w:rPr>
              <w:t>Tree category</w:t>
            </w:r>
          </w:p>
        </w:tc>
        <w:tc>
          <w:tcPr>
            <w:tcW w:w="1279" w:type="dxa"/>
          </w:tcPr>
          <w:p w14:paraId="7F3F62FF" w14:textId="77777777" w:rsidR="008F4211" w:rsidRPr="00DD2D75" w:rsidRDefault="008F4211" w:rsidP="006B3F89">
            <w:pPr>
              <w:jc w:val="center"/>
              <w:rPr>
                <w:b/>
                <w:bCs/>
              </w:rPr>
            </w:pPr>
            <w:r w:rsidRPr="00DD2D75">
              <w:rPr>
                <w:b/>
                <w:bCs/>
              </w:rPr>
              <w:t>Tree height (metres) Comments</w:t>
            </w:r>
          </w:p>
        </w:tc>
        <w:tc>
          <w:tcPr>
            <w:tcW w:w="3913" w:type="dxa"/>
          </w:tcPr>
          <w:p w14:paraId="3DC5D902" w14:textId="77777777" w:rsidR="008F4211" w:rsidRPr="00DD2D75" w:rsidRDefault="008F4211" w:rsidP="006B3F89">
            <w:pPr>
              <w:jc w:val="center"/>
              <w:rPr>
                <w:b/>
                <w:bCs/>
              </w:rPr>
            </w:pPr>
            <w:r w:rsidRPr="00DD2D75">
              <w:rPr>
                <w:b/>
                <w:bCs/>
              </w:rPr>
              <w:t>Comments</w:t>
            </w:r>
          </w:p>
        </w:tc>
      </w:tr>
      <w:tr w:rsidR="008F4211" w14:paraId="46C948A9" w14:textId="77777777" w:rsidTr="006B3F89">
        <w:tc>
          <w:tcPr>
            <w:tcW w:w="1255" w:type="dxa"/>
          </w:tcPr>
          <w:p w14:paraId="58B856C3" w14:textId="77777777" w:rsidR="008F4211" w:rsidRDefault="008F4211" w:rsidP="006B3F89">
            <w:pPr>
              <w:jc w:val="center"/>
            </w:pPr>
            <w:r>
              <w:t>Group 11</w:t>
            </w:r>
          </w:p>
        </w:tc>
        <w:tc>
          <w:tcPr>
            <w:tcW w:w="1895" w:type="dxa"/>
          </w:tcPr>
          <w:p w14:paraId="32E56DE7" w14:textId="77777777" w:rsidR="008F4211" w:rsidRDefault="008F4211" w:rsidP="006B3F89">
            <w:pPr>
              <w:jc w:val="center"/>
            </w:pPr>
            <w:r>
              <w:t>Oak, Sweet chestnut, Holly, Hornbeam</w:t>
            </w:r>
          </w:p>
        </w:tc>
        <w:tc>
          <w:tcPr>
            <w:tcW w:w="1009" w:type="dxa"/>
          </w:tcPr>
          <w:p w14:paraId="26B60273" w14:textId="77777777" w:rsidR="008F4211" w:rsidRDefault="008F4211" w:rsidP="006B3F89">
            <w:pPr>
              <w:jc w:val="center"/>
            </w:pPr>
            <w:r>
              <w:t>B2</w:t>
            </w:r>
          </w:p>
        </w:tc>
        <w:tc>
          <w:tcPr>
            <w:tcW w:w="1279" w:type="dxa"/>
          </w:tcPr>
          <w:p w14:paraId="2F88ACDA" w14:textId="77777777" w:rsidR="008F4211" w:rsidRDefault="008F4211" w:rsidP="006B3F89">
            <w:pPr>
              <w:jc w:val="center"/>
            </w:pPr>
            <w:r>
              <w:t>11</w:t>
            </w:r>
          </w:p>
        </w:tc>
        <w:tc>
          <w:tcPr>
            <w:tcW w:w="3913" w:type="dxa"/>
          </w:tcPr>
          <w:p w14:paraId="295BEE14" w14:textId="77777777" w:rsidR="008F4211" w:rsidRDefault="008F4211" w:rsidP="006B3F89">
            <w:pPr>
              <w:jc w:val="center"/>
            </w:pPr>
            <w:r>
              <w:t>Number of trees in group not specified</w:t>
            </w:r>
          </w:p>
        </w:tc>
      </w:tr>
      <w:tr w:rsidR="008F4211" w14:paraId="69D02499" w14:textId="77777777" w:rsidTr="006B3F89">
        <w:tc>
          <w:tcPr>
            <w:tcW w:w="1255" w:type="dxa"/>
          </w:tcPr>
          <w:p w14:paraId="32F55B9B" w14:textId="77777777" w:rsidR="008F4211" w:rsidRDefault="008F4211" w:rsidP="006B3F89">
            <w:pPr>
              <w:jc w:val="center"/>
            </w:pPr>
            <w:r>
              <w:lastRenderedPageBreak/>
              <w:t>12</w:t>
            </w:r>
          </w:p>
        </w:tc>
        <w:tc>
          <w:tcPr>
            <w:tcW w:w="1895" w:type="dxa"/>
          </w:tcPr>
          <w:p w14:paraId="09C8057B" w14:textId="77777777" w:rsidR="008F4211" w:rsidRDefault="008F4211" w:rsidP="006B3F89">
            <w:pPr>
              <w:jc w:val="center"/>
            </w:pPr>
            <w:r>
              <w:t>Copper beech</w:t>
            </w:r>
          </w:p>
        </w:tc>
        <w:tc>
          <w:tcPr>
            <w:tcW w:w="1009" w:type="dxa"/>
          </w:tcPr>
          <w:p w14:paraId="5986EDB0" w14:textId="77777777" w:rsidR="008F4211" w:rsidRDefault="008F4211" w:rsidP="006B3F89">
            <w:pPr>
              <w:jc w:val="center"/>
            </w:pPr>
            <w:r>
              <w:t>B2</w:t>
            </w:r>
          </w:p>
        </w:tc>
        <w:tc>
          <w:tcPr>
            <w:tcW w:w="1279" w:type="dxa"/>
          </w:tcPr>
          <w:p w14:paraId="28596702" w14:textId="77777777" w:rsidR="008F4211" w:rsidRDefault="008F4211" w:rsidP="006B3F89">
            <w:pPr>
              <w:jc w:val="center"/>
            </w:pPr>
            <w:r>
              <w:t>15</w:t>
            </w:r>
          </w:p>
        </w:tc>
        <w:tc>
          <w:tcPr>
            <w:tcW w:w="3913" w:type="dxa"/>
          </w:tcPr>
          <w:p w14:paraId="08D18B0D" w14:textId="77777777" w:rsidR="008F4211" w:rsidRDefault="008F4211" w:rsidP="006B3F89">
            <w:pPr>
              <w:jc w:val="center"/>
            </w:pPr>
          </w:p>
        </w:tc>
      </w:tr>
      <w:tr w:rsidR="008F4211" w14:paraId="41856932" w14:textId="77777777" w:rsidTr="006B3F89">
        <w:tc>
          <w:tcPr>
            <w:tcW w:w="1255" w:type="dxa"/>
          </w:tcPr>
          <w:p w14:paraId="7118E83B" w14:textId="77777777" w:rsidR="008F4211" w:rsidRDefault="008F4211" w:rsidP="006B3F89">
            <w:pPr>
              <w:jc w:val="center"/>
            </w:pPr>
            <w:r>
              <w:t>13</w:t>
            </w:r>
          </w:p>
        </w:tc>
        <w:tc>
          <w:tcPr>
            <w:tcW w:w="1895" w:type="dxa"/>
          </w:tcPr>
          <w:p w14:paraId="639219CA" w14:textId="77777777" w:rsidR="008F4211" w:rsidRDefault="008F4211" w:rsidP="006B3F89">
            <w:pPr>
              <w:jc w:val="center"/>
            </w:pPr>
            <w:r>
              <w:t>Deodor cedar</w:t>
            </w:r>
          </w:p>
        </w:tc>
        <w:tc>
          <w:tcPr>
            <w:tcW w:w="1009" w:type="dxa"/>
          </w:tcPr>
          <w:p w14:paraId="76F44C0C" w14:textId="77777777" w:rsidR="008F4211" w:rsidRDefault="008F4211" w:rsidP="006B3F89">
            <w:pPr>
              <w:jc w:val="center"/>
            </w:pPr>
            <w:r>
              <w:t>B2</w:t>
            </w:r>
          </w:p>
        </w:tc>
        <w:tc>
          <w:tcPr>
            <w:tcW w:w="1279" w:type="dxa"/>
          </w:tcPr>
          <w:p w14:paraId="15165742" w14:textId="77777777" w:rsidR="008F4211" w:rsidRDefault="008F4211" w:rsidP="006B3F89">
            <w:pPr>
              <w:jc w:val="center"/>
            </w:pPr>
            <w:r>
              <w:t>15</w:t>
            </w:r>
          </w:p>
        </w:tc>
        <w:tc>
          <w:tcPr>
            <w:tcW w:w="3913" w:type="dxa"/>
          </w:tcPr>
          <w:p w14:paraId="151E2BDD" w14:textId="77777777" w:rsidR="008F4211" w:rsidRDefault="008F4211" w:rsidP="006B3F89">
            <w:pPr>
              <w:jc w:val="center"/>
            </w:pPr>
          </w:p>
        </w:tc>
      </w:tr>
      <w:tr w:rsidR="008F4211" w14:paraId="6798ABC3" w14:textId="77777777" w:rsidTr="006B3F89">
        <w:tc>
          <w:tcPr>
            <w:tcW w:w="1255" w:type="dxa"/>
          </w:tcPr>
          <w:p w14:paraId="36216793" w14:textId="77777777" w:rsidR="008F4211" w:rsidRDefault="008F4211" w:rsidP="006B3F89">
            <w:pPr>
              <w:jc w:val="center"/>
            </w:pPr>
            <w:r>
              <w:t>14</w:t>
            </w:r>
          </w:p>
        </w:tc>
        <w:tc>
          <w:tcPr>
            <w:tcW w:w="1895" w:type="dxa"/>
          </w:tcPr>
          <w:p w14:paraId="3A8F4606" w14:textId="77777777" w:rsidR="008F4211" w:rsidRDefault="008F4211" w:rsidP="006B3F89">
            <w:pPr>
              <w:jc w:val="center"/>
            </w:pPr>
            <w:r>
              <w:t>Oak</w:t>
            </w:r>
          </w:p>
        </w:tc>
        <w:tc>
          <w:tcPr>
            <w:tcW w:w="1009" w:type="dxa"/>
          </w:tcPr>
          <w:p w14:paraId="257E22EE" w14:textId="77777777" w:rsidR="008F4211" w:rsidRDefault="008F4211" w:rsidP="006B3F89">
            <w:pPr>
              <w:jc w:val="center"/>
            </w:pPr>
            <w:r>
              <w:t>B1</w:t>
            </w:r>
          </w:p>
        </w:tc>
        <w:tc>
          <w:tcPr>
            <w:tcW w:w="1279" w:type="dxa"/>
          </w:tcPr>
          <w:p w14:paraId="730EDAA0" w14:textId="77777777" w:rsidR="008F4211" w:rsidRDefault="008F4211" w:rsidP="006B3F89">
            <w:pPr>
              <w:jc w:val="center"/>
            </w:pPr>
            <w:r>
              <w:t>19</w:t>
            </w:r>
          </w:p>
        </w:tc>
        <w:tc>
          <w:tcPr>
            <w:tcW w:w="3913" w:type="dxa"/>
          </w:tcPr>
          <w:p w14:paraId="1BE627FC" w14:textId="77777777" w:rsidR="008F4211" w:rsidRDefault="008F4211" w:rsidP="006B3F89">
            <w:pPr>
              <w:jc w:val="center"/>
            </w:pPr>
          </w:p>
        </w:tc>
      </w:tr>
      <w:tr w:rsidR="008F4211" w14:paraId="43074EE9" w14:textId="77777777" w:rsidTr="006B3F89">
        <w:tc>
          <w:tcPr>
            <w:tcW w:w="1255" w:type="dxa"/>
          </w:tcPr>
          <w:p w14:paraId="67024109" w14:textId="77777777" w:rsidR="008F4211" w:rsidRDefault="008F4211" w:rsidP="006B3F89">
            <w:pPr>
              <w:jc w:val="center"/>
            </w:pPr>
            <w:r>
              <w:t>Group 15</w:t>
            </w:r>
          </w:p>
        </w:tc>
        <w:tc>
          <w:tcPr>
            <w:tcW w:w="1895" w:type="dxa"/>
          </w:tcPr>
          <w:p w14:paraId="5C85F75F" w14:textId="77777777" w:rsidR="008F4211" w:rsidRDefault="008F4211" w:rsidP="006B3F89">
            <w:pPr>
              <w:jc w:val="center"/>
            </w:pPr>
            <w:r>
              <w:t>Holly</w:t>
            </w:r>
          </w:p>
        </w:tc>
        <w:tc>
          <w:tcPr>
            <w:tcW w:w="1009" w:type="dxa"/>
          </w:tcPr>
          <w:p w14:paraId="1A6FD014" w14:textId="77777777" w:rsidR="008F4211" w:rsidRDefault="008F4211" w:rsidP="006B3F89">
            <w:pPr>
              <w:jc w:val="center"/>
            </w:pPr>
            <w:r>
              <w:t>C2</w:t>
            </w:r>
          </w:p>
        </w:tc>
        <w:tc>
          <w:tcPr>
            <w:tcW w:w="1279" w:type="dxa"/>
          </w:tcPr>
          <w:p w14:paraId="4E8E5D91" w14:textId="77777777" w:rsidR="008F4211" w:rsidRDefault="008F4211" w:rsidP="006B3F89">
            <w:pPr>
              <w:jc w:val="center"/>
            </w:pPr>
            <w:r>
              <w:t>8</w:t>
            </w:r>
          </w:p>
        </w:tc>
        <w:tc>
          <w:tcPr>
            <w:tcW w:w="3913" w:type="dxa"/>
          </w:tcPr>
          <w:p w14:paraId="46A85666" w14:textId="77777777" w:rsidR="008F4211" w:rsidRDefault="008F4211" w:rsidP="006B3F89">
            <w:pPr>
              <w:jc w:val="center"/>
            </w:pPr>
          </w:p>
        </w:tc>
      </w:tr>
      <w:tr w:rsidR="008F4211" w14:paraId="25CA698B" w14:textId="77777777" w:rsidTr="006B3F89">
        <w:tc>
          <w:tcPr>
            <w:tcW w:w="1255" w:type="dxa"/>
          </w:tcPr>
          <w:p w14:paraId="0A6B21E8" w14:textId="77777777" w:rsidR="008F4211" w:rsidRDefault="008F4211" w:rsidP="006B3F89">
            <w:pPr>
              <w:jc w:val="center"/>
            </w:pPr>
            <w:r>
              <w:t>16</w:t>
            </w:r>
          </w:p>
        </w:tc>
        <w:tc>
          <w:tcPr>
            <w:tcW w:w="1895" w:type="dxa"/>
          </w:tcPr>
          <w:p w14:paraId="4B006BEA" w14:textId="77777777" w:rsidR="008F4211" w:rsidRDefault="008F4211" w:rsidP="006B3F89">
            <w:pPr>
              <w:jc w:val="center"/>
            </w:pPr>
            <w:r>
              <w:t>Beech</w:t>
            </w:r>
          </w:p>
        </w:tc>
        <w:tc>
          <w:tcPr>
            <w:tcW w:w="1009" w:type="dxa"/>
          </w:tcPr>
          <w:p w14:paraId="6A38D768" w14:textId="77777777" w:rsidR="008F4211" w:rsidRDefault="008F4211" w:rsidP="006B3F89">
            <w:pPr>
              <w:jc w:val="center"/>
            </w:pPr>
            <w:r>
              <w:t>A2</w:t>
            </w:r>
          </w:p>
        </w:tc>
        <w:tc>
          <w:tcPr>
            <w:tcW w:w="1279" w:type="dxa"/>
          </w:tcPr>
          <w:p w14:paraId="21ACA419" w14:textId="77777777" w:rsidR="008F4211" w:rsidRDefault="008F4211" w:rsidP="006B3F89">
            <w:pPr>
              <w:jc w:val="center"/>
            </w:pPr>
            <w:r>
              <w:t>23</w:t>
            </w:r>
          </w:p>
        </w:tc>
        <w:tc>
          <w:tcPr>
            <w:tcW w:w="3913" w:type="dxa"/>
          </w:tcPr>
          <w:p w14:paraId="77201B76" w14:textId="77777777" w:rsidR="008F4211" w:rsidRDefault="008F4211" w:rsidP="006B3F89">
            <w:pPr>
              <w:jc w:val="center"/>
            </w:pPr>
            <w:r>
              <w:t>Remove for hub. Could be saved if hub moved further south</w:t>
            </w:r>
          </w:p>
        </w:tc>
      </w:tr>
      <w:tr w:rsidR="008F4211" w14:paraId="46985054" w14:textId="77777777" w:rsidTr="006B3F89">
        <w:tc>
          <w:tcPr>
            <w:tcW w:w="1255" w:type="dxa"/>
          </w:tcPr>
          <w:p w14:paraId="613FADB8" w14:textId="77777777" w:rsidR="008F4211" w:rsidRDefault="008F4211" w:rsidP="006B3F89">
            <w:pPr>
              <w:jc w:val="center"/>
            </w:pPr>
            <w:r>
              <w:t>17</w:t>
            </w:r>
          </w:p>
        </w:tc>
        <w:tc>
          <w:tcPr>
            <w:tcW w:w="1895" w:type="dxa"/>
          </w:tcPr>
          <w:p w14:paraId="62F85CD5" w14:textId="77777777" w:rsidR="008F4211" w:rsidRDefault="008F4211" w:rsidP="006B3F89">
            <w:pPr>
              <w:jc w:val="center"/>
            </w:pPr>
            <w:r>
              <w:t>Beech</w:t>
            </w:r>
          </w:p>
        </w:tc>
        <w:tc>
          <w:tcPr>
            <w:tcW w:w="1009" w:type="dxa"/>
          </w:tcPr>
          <w:p w14:paraId="6D0E5448" w14:textId="77777777" w:rsidR="008F4211" w:rsidRDefault="008F4211" w:rsidP="006B3F89">
            <w:pPr>
              <w:jc w:val="center"/>
            </w:pPr>
            <w:r>
              <w:t>A2</w:t>
            </w:r>
          </w:p>
        </w:tc>
        <w:tc>
          <w:tcPr>
            <w:tcW w:w="1279" w:type="dxa"/>
          </w:tcPr>
          <w:p w14:paraId="59C4467D" w14:textId="77777777" w:rsidR="008F4211" w:rsidRDefault="008F4211" w:rsidP="006B3F89">
            <w:pPr>
              <w:jc w:val="center"/>
            </w:pPr>
            <w:r>
              <w:t>23</w:t>
            </w:r>
          </w:p>
        </w:tc>
        <w:tc>
          <w:tcPr>
            <w:tcW w:w="3913" w:type="dxa"/>
          </w:tcPr>
          <w:p w14:paraId="59D11ED2" w14:textId="77777777" w:rsidR="008F4211" w:rsidRDefault="008F4211" w:rsidP="006B3F89">
            <w:pPr>
              <w:jc w:val="center"/>
            </w:pPr>
            <w:r>
              <w:t>Remove for hub. Could be saved if hub moved further south</w:t>
            </w:r>
          </w:p>
        </w:tc>
      </w:tr>
      <w:tr w:rsidR="008F4211" w14:paraId="7E9EC55B" w14:textId="77777777" w:rsidTr="006B3F89">
        <w:tc>
          <w:tcPr>
            <w:tcW w:w="1255" w:type="dxa"/>
          </w:tcPr>
          <w:p w14:paraId="5C4E91E3" w14:textId="77777777" w:rsidR="008F4211" w:rsidRDefault="008F4211" w:rsidP="006B3F89">
            <w:pPr>
              <w:jc w:val="center"/>
            </w:pPr>
            <w:r>
              <w:t>23</w:t>
            </w:r>
          </w:p>
        </w:tc>
        <w:tc>
          <w:tcPr>
            <w:tcW w:w="1895" w:type="dxa"/>
          </w:tcPr>
          <w:p w14:paraId="4D3F9678" w14:textId="77777777" w:rsidR="008F4211" w:rsidRDefault="008F4211" w:rsidP="006B3F89">
            <w:pPr>
              <w:jc w:val="center"/>
            </w:pPr>
            <w:r>
              <w:t>Silver birch, Scots pine, Goat willow, English oak</w:t>
            </w:r>
          </w:p>
        </w:tc>
        <w:tc>
          <w:tcPr>
            <w:tcW w:w="1009" w:type="dxa"/>
          </w:tcPr>
          <w:p w14:paraId="1B7C4DBE" w14:textId="77777777" w:rsidR="008F4211" w:rsidRDefault="008F4211" w:rsidP="006B3F89">
            <w:pPr>
              <w:jc w:val="center"/>
            </w:pPr>
            <w:r>
              <w:t>B2</w:t>
            </w:r>
          </w:p>
        </w:tc>
        <w:tc>
          <w:tcPr>
            <w:tcW w:w="1279" w:type="dxa"/>
          </w:tcPr>
          <w:p w14:paraId="0ABF24D4" w14:textId="77777777" w:rsidR="008F4211" w:rsidRDefault="008F4211" w:rsidP="006B3F89">
            <w:pPr>
              <w:jc w:val="center"/>
            </w:pPr>
            <w:r>
              <w:t>17</w:t>
            </w:r>
          </w:p>
        </w:tc>
        <w:tc>
          <w:tcPr>
            <w:tcW w:w="3913" w:type="dxa"/>
          </w:tcPr>
          <w:p w14:paraId="61F49256" w14:textId="77777777" w:rsidR="008F4211" w:rsidRDefault="008F4211" w:rsidP="006B3F89">
            <w:pPr>
              <w:jc w:val="center"/>
            </w:pPr>
            <w:r>
              <w:t>Number of trees in group not specified</w:t>
            </w:r>
          </w:p>
        </w:tc>
      </w:tr>
      <w:tr w:rsidR="008F4211" w14:paraId="30349569" w14:textId="77777777" w:rsidTr="006B3F89">
        <w:tc>
          <w:tcPr>
            <w:tcW w:w="1255" w:type="dxa"/>
          </w:tcPr>
          <w:p w14:paraId="2C062547" w14:textId="77777777" w:rsidR="008F4211" w:rsidRDefault="008F4211" w:rsidP="006B3F89">
            <w:pPr>
              <w:jc w:val="center"/>
            </w:pPr>
            <w:r>
              <w:t>Group 28</w:t>
            </w:r>
          </w:p>
        </w:tc>
        <w:tc>
          <w:tcPr>
            <w:tcW w:w="1895" w:type="dxa"/>
          </w:tcPr>
          <w:p w14:paraId="02D0D9F5" w14:textId="77777777" w:rsidR="008F4211" w:rsidRDefault="008F4211" w:rsidP="006B3F89">
            <w:pPr>
              <w:jc w:val="center"/>
            </w:pPr>
            <w:r>
              <w:t>English oak</w:t>
            </w:r>
          </w:p>
        </w:tc>
        <w:tc>
          <w:tcPr>
            <w:tcW w:w="1009" w:type="dxa"/>
          </w:tcPr>
          <w:p w14:paraId="21463238" w14:textId="77777777" w:rsidR="008F4211" w:rsidRDefault="008F4211" w:rsidP="006B3F89">
            <w:pPr>
              <w:jc w:val="center"/>
            </w:pPr>
            <w:r>
              <w:t>C2</w:t>
            </w:r>
          </w:p>
        </w:tc>
        <w:tc>
          <w:tcPr>
            <w:tcW w:w="1279" w:type="dxa"/>
          </w:tcPr>
          <w:p w14:paraId="1D015A40" w14:textId="77777777" w:rsidR="008F4211" w:rsidRDefault="008F4211" w:rsidP="006B3F89">
            <w:pPr>
              <w:jc w:val="center"/>
            </w:pPr>
            <w:r>
              <w:t>9</w:t>
            </w:r>
          </w:p>
        </w:tc>
        <w:tc>
          <w:tcPr>
            <w:tcW w:w="3913" w:type="dxa"/>
          </w:tcPr>
          <w:p w14:paraId="57F013CD" w14:textId="77777777" w:rsidR="008F4211" w:rsidRDefault="008F4211" w:rsidP="006B3F89">
            <w:pPr>
              <w:jc w:val="center"/>
            </w:pPr>
            <w:r>
              <w:t>Close to road. Poor quality. Number of trees in group not specified</w:t>
            </w:r>
          </w:p>
        </w:tc>
      </w:tr>
      <w:tr w:rsidR="008F4211" w14:paraId="15795AFB" w14:textId="77777777" w:rsidTr="006B3F89">
        <w:tc>
          <w:tcPr>
            <w:tcW w:w="1255" w:type="dxa"/>
          </w:tcPr>
          <w:p w14:paraId="6C54B33C" w14:textId="77777777" w:rsidR="008F4211" w:rsidRDefault="008F4211" w:rsidP="006B3F89">
            <w:pPr>
              <w:jc w:val="center"/>
            </w:pPr>
            <w:r>
              <w:t>29</w:t>
            </w:r>
          </w:p>
        </w:tc>
        <w:tc>
          <w:tcPr>
            <w:tcW w:w="1895" w:type="dxa"/>
          </w:tcPr>
          <w:p w14:paraId="086CF9B0" w14:textId="77777777" w:rsidR="008F4211" w:rsidRDefault="008F4211" w:rsidP="006B3F89">
            <w:pPr>
              <w:jc w:val="center"/>
            </w:pPr>
            <w:r>
              <w:t>English oak</w:t>
            </w:r>
          </w:p>
        </w:tc>
        <w:tc>
          <w:tcPr>
            <w:tcW w:w="1009" w:type="dxa"/>
          </w:tcPr>
          <w:p w14:paraId="57B39633" w14:textId="77777777" w:rsidR="008F4211" w:rsidRDefault="008F4211" w:rsidP="006B3F89">
            <w:pPr>
              <w:jc w:val="center"/>
            </w:pPr>
            <w:r>
              <w:t>C1</w:t>
            </w:r>
          </w:p>
        </w:tc>
        <w:tc>
          <w:tcPr>
            <w:tcW w:w="1279" w:type="dxa"/>
          </w:tcPr>
          <w:p w14:paraId="1F960463" w14:textId="77777777" w:rsidR="008F4211" w:rsidRDefault="008F4211" w:rsidP="006B3F89">
            <w:pPr>
              <w:jc w:val="center"/>
            </w:pPr>
            <w:r>
              <w:t>10</w:t>
            </w:r>
          </w:p>
        </w:tc>
        <w:tc>
          <w:tcPr>
            <w:tcW w:w="3913" w:type="dxa"/>
          </w:tcPr>
          <w:p w14:paraId="593305FB" w14:textId="77777777" w:rsidR="008F4211" w:rsidRDefault="008F4211" w:rsidP="006B3F89">
            <w:pPr>
              <w:jc w:val="center"/>
            </w:pPr>
          </w:p>
        </w:tc>
      </w:tr>
      <w:tr w:rsidR="008F4211" w14:paraId="2C687851" w14:textId="77777777" w:rsidTr="006B3F89">
        <w:tc>
          <w:tcPr>
            <w:tcW w:w="1255" w:type="dxa"/>
          </w:tcPr>
          <w:p w14:paraId="6BA41F21" w14:textId="77777777" w:rsidR="008F4211" w:rsidRDefault="008F4211" w:rsidP="006B3F89">
            <w:pPr>
              <w:jc w:val="center"/>
            </w:pPr>
            <w:r>
              <w:t>Group 49</w:t>
            </w:r>
          </w:p>
        </w:tc>
        <w:tc>
          <w:tcPr>
            <w:tcW w:w="1895" w:type="dxa"/>
          </w:tcPr>
          <w:p w14:paraId="124B2DED" w14:textId="77777777" w:rsidR="008F4211" w:rsidRDefault="008F4211" w:rsidP="006B3F89">
            <w:pPr>
              <w:jc w:val="center"/>
            </w:pPr>
            <w:r>
              <w:t>Scots pine</w:t>
            </w:r>
          </w:p>
        </w:tc>
        <w:tc>
          <w:tcPr>
            <w:tcW w:w="1009" w:type="dxa"/>
          </w:tcPr>
          <w:p w14:paraId="692D972A" w14:textId="77777777" w:rsidR="008F4211" w:rsidRDefault="008F4211" w:rsidP="006B3F89">
            <w:pPr>
              <w:jc w:val="center"/>
            </w:pPr>
            <w:r>
              <w:t>B2</w:t>
            </w:r>
          </w:p>
        </w:tc>
        <w:tc>
          <w:tcPr>
            <w:tcW w:w="1279" w:type="dxa"/>
          </w:tcPr>
          <w:p w14:paraId="150D1DB2" w14:textId="77777777" w:rsidR="008F4211" w:rsidRDefault="008F4211" w:rsidP="006B3F89">
            <w:pPr>
              <w:jc w:val="center"/>
            </w:pPr>
            <w:r>
              <w:t>18</w:t>
            </w:r>
          </w:p>
        </w:tc>
        <w:tc>
          <w:tcPr>
            <w:tcW w:w="3913" w:type="dxa"/>
          </w:tcPr>
          <w:p w14:paraId="3338FDAC" w14:textId="77777777" w:rsidR="008F4211" w:rsidRDefault="008F4211" w:rsidP="006B3F89">
            <w:pPr>
              <w:jc w:val="center"/>
            </w:pPr>
            <w:r>
              <w:t>Number in group unknown</w:t>
            </w:r>
          </w:p>
        </w:tc>
      </w:tr>
    </w:tbl>
    <w:p w14:paraId="400B60FD" w14:textId="0F948E3F" w:rsidR="008F4211" w:rsidRDefault="008F4211" w:rsidP="00686DE8">
      <w:pPr>
        <w:rPr>
          <w:rFonts w:cstheme="minorHAnsi"/>
        </w:rPr>
      </w:pPr>
    </w:p>
    <w:p w14:paraId="063EA432" w14:textId="44BD9394" w:rsidR="008F4211" w:rsidRPr="008F4211" w:rsidRDefault="008F4211" w:rsidP="008F4211">
      <w:pPr>
        <w:rPr>
          <w:rFonts w:cstheme="minorHAnsi"/>
        </w:rPr>
      </w:pPr>
      <w:r w:rsidRPr="008F4211">
        <w:rPr>
          <w:rFonts w:cstheme="minorHAnsi"/>
        </w:rPr>
        <w:t xml:space="preserve">It is very evident that trees 16 and 17, two </w:t>
      </w:r>
      <w:r w:rsidR="005C3E12" w:rsidRPr="008F4211">
        <w:rPr>
          <w:rFonts w:cstheme="minorHAnsi"/>
        </w:rPr>
        <w:t>23-metre-high</w:t>
      </w:r>
      <w:r w:rsidRPr="008F4211">
        <w:rPr>
          <w:rFonts w:cstheme="minorHAnsi"/>
        </w:rPr>
        <w:t xml:space="preserve"> category A1 beech trees are fine specimens. The planning application describes them as being in ‘good condition’. They are both A1 category. We are unsure how an A1 category tree can be described as just ‘good</w:t>
      </w:r>
      <w:r w:rsidR="00144653">
        <w:rPr>
          <w:rFonts w:cstheme="minorHAnsi"/>
        </w:rPr>
        <w:t>.</w:t>
      </w:r>
      <w:r w:rsidRPr="008F4211">
        <w:rPr>
          <w:rFonts w:cstheme="minorHAnsi"/>
        </w:rPr>
        <w:t xml:space="preserve">’ </w:t>
      </w:r>
      <w:r w:rsidRPr="008F4211">
        <w:rPr>
          <w:rFonts w:cstheme="minorHAnsi"/>
        </w:rPr>
        <w:br/>
      </w:r>
    </w:p>
    <w:p w14:paraId="2C2DD7B3" w14:textId="4B17EE4E" w:rsidR="008F4211" w:rsidRPr="008F4211" w:rsidRDefault="008F4211" w:rsidP="008F4211">
      <w:pPr>
        <w:rPr>
          <w:rFonts w:cstheme="minorHAnsi"/>
        </w:rPr>
      </w:pPr>
      <w:r w:rsidRPr="008F4211">
        <w:rPr>
          <w:rFonts w:cstheme="minorHAnsi"/>
        </w:rPr>
        <w:t xml:space="preserve">Tree 12 is a category B2, </w:t>
      </w:r>
      <w:r w:rsidR="005C3E12" w:rsidRPr="008F4211">
        <w:rPr>
          <w:rFonts w:cstheme="minorHAnsi"/>
        </w:rPr>
        <w:t>15-metre-high</w:t>
      </w:r>
      <w:r w:rsidRPr="008F4211">
        <w:rPr>
          <w:rFonts w:cstheme="minorHAnsi"/>
        </w:rPr>
        <w:t xml:space="preserve"> copper beech; tree 13 is a </w:t>
      </w:r>
      <w:r w:rsidR="005C3E12" w:rsidRPr="008F4211">
        <w:rPr>
          <w:rFonts w:cstheme="minorHAnsi"/>
        </w:rPr>
        <w:t>15-metre-high</w:t>
      </w:r>
      <w:r w:rsidRPr="008F4211">
        <w:rPr>
          <w:rFonts w:cstheme="minorHAnsi"/>
        </w:rPr>
        <w:t xml:space="preserve">, category B2 Deodor cedar and tree 14 is a category B1, </w:t>
      </w:r>
      <w:r w:rsidR="005C3E12" w:rsidRPr="008F4211">
        <w:rPr>
          <w:rFonts w:cstheme="minorHAnsi"/>
        </w:rPr>
        <w:t>19-metre-high</w:t>
      </w:r>
      <w:r w:rsidRPr="008F4211">
        <w:rPr>
          <w:rFonts w:cstheme="minorHAnsi"/>
        </w:rPr>
        <w:t xml:space="preserve"> oak. Group 49 comprises of an </w:t>
      </w:r>
      <w:r w:rsidR="005C3E12" w:rsidRPr="008F4211">
        <w:rPr>
          <w:rFonts w:cstheme="minorHAnsi"/>
        </w:rPr>
        <w:t>18-metre-high</w:t>
      </w:r>
      <w:r w:rsidRPr="008F4211">
        <w:rPr>
          <w:rFonts w:cstheme="minorHAnsi"/>
        </w:rPr>
        <w:t xml:space="preserve"> B2 category Scots pine. </w:t>
      </w:r>
      <w:r w:rsidRPr="008F4211">
        <w:rPr>
          <w:rFonts w:cstheme="minorHAnsi"/>
        </w:rPr>
        <w:br/>
      </w:r>
      <w:r w:rsidRPr="008F4211">
        <w:rPr>
          <w:rFonts w:cstheme="minorHAnsi"/>
        </w:rPr>
        <w:br/>
        <w:t>Examination of the plan for the proposed felling shows that trees in group 11 and group 15 as well as individual trees 12,</w:t>
      </w:r>
      <w:r w:rsidR="00144653">
        <w:rPr>
          <w:rFonts w:cstheme="minorHAnsi"/>
        </w:rPr>
        <w:t xml:space="preserve"> </w:t>
      </w:r>
      <w:r w:rsidRPr="008F4211">
        <w:rPr>
          <w:rFonts w:cstheme="minorHAnsi"/>
        </w:rPr>
        <w:t>13,</w:t>
      </w:r>
      <w:r w:rsidR="00144653">
        <w:rPr>
          <w:rFonts w:cstheme="minorHAnsi"/>
        </w:rPr>
        <w:t xml:space="preserve"> </w:t>
      </w:r>
      <w:r w:rsidRPr="008F4211">
        <w:rPr>
          <w:rFonts w:cstheme="minorHAnsi"/>
        </w:rPr>
        <w:t>14, 16 and 17 are all in a similar location to the north of the site. This is shown on the extract of the map below:</w:t>
      </w:r>
    </w:p>
    <w:p w14:paraId="5121D38A" w14:textId="56757E39" w:rsidR="008F4211" w:rsidRDefault="008F4211" w:rsidP="00686DE8">
      <w:pPr>
        <w:rPr>
          <w:rFonts w:cstheme="minorHAnsi"/>
        </w:rPr>
      </w:pPr>
      <w:r w:rsidRPr="00731D5A">
        <w:rPr>
          <w:rFonts w:cstheme="minorHAnsi"/>
          <w:noProof/>
        </w:rPr>
        <w:drawing>
          <wp:inline distT="0" distB="0" distL="0" distR="0" wp14:anchorId="4980D6CB" wp14:editId="3B5A43DC">
            <wp:extent cx="5731510" cy="3323590"/>
            <wp:effectExtent l="19050" t="19050" r="21590" b="10160"/>
            <wp:docPr id="3" name="Picture 3" descr="Diagram showing layout of the land and root protection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howing layout of the land and root protection are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23590"/>
                    </a:xfrm>
                    <a:prstGeom prst="rect">
                      <a:avLst/>
                    </a:prstGeom>
                    <a:noFill/>
                    <a:ln>
                      <a:solidFill>
                        <a:schemeClr val="accent1"/>
                      </a:solidFill>
                    </a:ln>
                  </pic:spPr>
                </pic:pic>
              </a:graphicData>
            </a:graphic>
          </wp:inline>
        </w:drawing>
      </w:r>
    </w:p>
    <w:p w14:paraId="79A43D02" w14:textId="77777777" w:rsidR="0016510B" w:rsidRDefault="008F4211" w:rsidP="008F4211">
      <w:pPr>
        <w:rPr>
          <w:rFonts w:cstheme="minorHAnsi"/>
        </w:rPr>
      </w:pPr>
      <w:r w:rsidRPr="008F4211">
        <w:rPr>
          <w:rFonts w:cstheme="minorHAnsi"/>
        </w:rPr>
        <w:lastRenderedPageBreak/>
        <w:t>The Parish Council appreciate</w:t>
      </w:r>
      <w:r w:rsidR="0016510B">
        <w:rPr>
          <w:rFonts w:cstheme="minorHAnsi"/>
        </w:rPr>
        <w:t>s</w:t>
      </w:r>
      <w:r w:rsidRPr="008F4211">
        <w:rPr>
          <w:rFonts w:cstheme="minorHAnsi"/>
        </w:rPr>
        <w:t xml:space="preserve"> that there were alternative proposals put forward for the location of the community health hub and car park and that the chosen location was the option that was most favoured. It is very unfortunate that some readjustment of the building and car park footprint could not be implemented to safeguard these very significant TPO trees all situated in this one cluster. </w:t>
      </w:r>
    </w:p>
    <w:p w14:paraId="27B7F166" w14:textId="066F5F36" w:rsidR="008F4211" w:rsidRDefault="008F4211" w:rsidP="008F4211">
      <w:pPr>
        <w:rPr>
          <w:rFonts w:cstheme="minorHAnsi"/>
        </w:rPr>
      </w:pPr>
      <w:r w:rsidRPr="008F4211">
        <w:rPr>
          <w:rFonts w:cstheme="minorHAnsi"/>
        </w:rPr>
        <w:t>Could this be looked at again in more detail in order to minimise the loss?</w:t>
      </w:r>
    </w:p>
    <w:p w14:paraId="7F7EC20E" w14:textId="2322916D" w:rsidR="00F4657D" w:rsidRPr="003D3158" w:rsidRDefault="00F4657D" w:rsidP="00F4657D">
      <w:pPr>
        <w:pStyle w:val="ListParagraph"/>
        <w:numPr>
          <w:ilvl w:val="0"/>
          <w:numId w:val="17"/>
        </w:numPr>
        <w:rPr>
          <w:rFonts w:cstheme="minorHAnsi"/>
          <w:sz w:val="24"/>
          <w:szCs w:val="24"/>
        </w:rPr>
      </w:pPr>
      <w:r w:rsidRPr="003D3158">
        <w:rPr>
          <w:rFonts w:cstheme="minorHAnsi"/>
          <w:b/>
          <w:bCs/>
          <w:sz w:val="24"/>
          <w:szCs w:val="24"/>
        </w:rPr>
        <w:t xml:space="preserve">Light </w:t>
      </w:r>
      <w:r w:rsidR="009D2EB9" w:rsidRPr="003D3158">
        <w:rPr>
          <w:rFonts w:cstheme="minorHAnsi"/>
          <w:b/>
          <w:bCs/>
          <w:sz w:val="24"/>
          <w:szCs w:val="24"/>
        </w:rPr>
        <w:t>p</w:t>
      </w:r>
      <w:r w:rsidRPr="003D3158">
        <w:rPr>
          <w:rFonts w:cstheme="minorHAnsi"/>
          <w:b/>
          <w:bCs/>
          <w:sz w:val="24"/>
          <w:szCs w:val="24"/>
        </w:rPr>
        <w:t>ollution</w:t>
      </w:r>
      <w:r w:rsidR="009D2EB9" w:rsidRPr="003D3158">
        <w:rPr>
          <w:rFonts w:cstheme="minorHAnsi"/>
          <w:b/>
          <w:bCs/>
          <w:sz w:val="24"/>
          <w:szCs w:val="24"/>
        </w:rPr>
        <w:t xml:space="preserve"> affecting nearby residents</w:t>
      </w:r>
    </w:p>
    <w:p w14:paraId="3CE789EC" w14:textId="77777777" w:rsidR="00F4657D" w:rsidRDefault="00F4657D" w:rsidP="00F4657D">
      <w:r>
        <w:t xml:space="preserve">In the </w:t>
      </w:r>
      <w:r>
        <w:rPr>
          <w:i/>
        </w:rPr>
        <w:t>Landscape visual impact assessment for proposed Lynwood Medical Hub</w:t>
      </w:r>
      <w:r>
        <w:t xml:space="preserve"> ALVA states:</w:t>
      </w:r>
    </w:p>
    <w:p w14:paraId="19A2FFDF" w14:textId="77777777" w:rsidR="00F4657D" w:rsidRDefault="00F4657D" w:rsidP="00F4657D">
      <w:pPr>
        <w:rPr>
          <w:i/>
        </w:rPr>
      </w:pPr>
      <w:r w:rsidRPr="009E21DB">
        <w:rPr>
          <w:i/>
        </w:rPr>
        <w:t>“Currently there is no lighting along the section of Rise Road</w:t>
      </w:r>
      <w:r>
        <w:rPr>
          <w:i/>
        </w:rPr>
        <w:t xml:space="preserve"> opposite the site, although there is street lighting along Park Crescent”</w:t>
      </w:r>
    </w:p>
    <w:p w14:paraId="1D3EDF63" w14:textId="77777777" w:rsidR="00F4657D" w:rsidRDefault="00F4657D" w:rsidP="00F4657D">
      <w:pPr>
        <w:rPr>
          <w:i/>
        </w:rPr>
      </w:pPr>
      <w:r>
        <w:rPr>
          <w:i/>
        </w:rPr>
        <w:t xml:space="preserve">“The new carpark will require </w:t>
      </w:r>
      <w:r w:rsidRPr="009E21DB">
        <w:rPr>
          <w:i/>
        </w:rPr>
        <w:t>lighting and it is likely that the new building will be well lit,</w:t>
      </w:r>
      <w:r>
        <w:rPr>
          <w:i/>
        </w:rPr>
        <w:t xml:space="preserve"> for obvious reasons.”</w:t>
      </w:r>
    </w:p>
    <w:p w14:paraId="100C967C" w14:textId="77777777" w:rsidR="00F4657D" w:rsidRPr="00EE75E2" w:rsidRDefault="00F4657D" w:rsidP="00F4657D">
      <w:pPr>
        <w:rPr>
          <w:i/>
        </w:rPr>
      </w:pPr>
      <w:r>
        <w:rPr>
          <w:i/>
        </w:rPr>
        <w:t xml:space="preserve">“Topography, hedges and trees will screen views of surgery and parked cars </w:t>
      </w:r>
      <w:r w:rsidRPr="00EE75E2">
        <w:rPr>
          <w:i/>
        </w:rPr>
        <w:t>though any lighting will have an impact”</w:t>
      </w:r>
    </w:p>
    <w:p w14:paraId="4DF5CB64" w14:textId="77777777" w:rsidR="00F4657D" w:rsidRPr="00C826B8" w:rsidRDefault="00F4657D" w:rsidP="00F4657D">
      <w:pPr>
        <w:rPr>
          <w:i/>
        </w:rPr>
      </w:pPr>
      <w:r>
        <w:rPr>
          <w:i/>
        </w:rPr>
        <w:t xml:space="preserve">“New carpark and hedge row trees in the foreground can screen the new </w:t>
      </w:r>
      <w:r w:rsidRPr="00C826B8">
        <w:rPr>
          <w:i/>
        </w:rPr>
        <w:t>building though there are likely to be an impact from lighting.”</w:t>
      </w:r>
    </w:p>
    <w:p w14:paraId="6988ABF1" w14:textId="288D5890" w:rsidR="00F4657D" w:rsidRDefault="00F4657D" w:rsidP="00F4657D">
      <w:pPr>
        <w:rPr>
          <w:i/>
        </w:rPr>
      </w:pPr>
      <w:r>
        <w:rPr>
          <w:i/>
        </w:rPr>
        <w:t xml:space="preserve">“The surgery will be screened by foreground dwellings and vegetation. </w:t>
      </w:r>
      <w:r w:rsidRPr="00F4657D">
        <w:rPr>
          <w:b/>
          <w:bCs/>
          <w:i/>
        </w:rPr>
        <w:t>There will be some impact from lighting.</w:t>
      </w:r>
      <w:r w:rsidR="001C524D">
        <w:rPr>
          <w:i/>
        </w:rPr>
        <w:t xml:space="preserve"> </w:t>
      </w:r>
      <w:r>
        <w:rPr>
          <w:i/>
        </w:rPr>
        <w:t>Trees in autumn colour will be removed.”</w:t>
      </w:r>
    </w:p>
    <w:p w14:paraId="3B393CFA" w14:textId="77777777" w:rsidR="00F4657D" w:rsidRDefault="00F4657D" w:rsidP="00F4657D">
      <w:r>
        <w:t>We are concerned there has been no formal assessment of the level of light pollution that will affect the residents of Park Crescent, Rise Road and Lynwood Crescent. Without this information it is not possible for the residents affected to be able to judge how intrusive the light pollution will be on their properties.</w:t>
      </w:r>
    </w:p>
    <w:p w14:paraId="27C316B6" w14:textId="1F1851E0" w:rsidR="002877F5" w:rsidRDefault="00F4657D" w:rsidP="006D5E29">
      <w:r>
        <w:t>night and early winter mornings.</w:t>
      </w:r>
    </w:p>
    <w:p w14:paraId="3502CFF9" w14:textId="2CED3114" w:rsidR="00F40F0F" w:rsidRPr="00CC55BF" w:rsidRDefault="00F40F0F" w:rsidP="00F40F0F">
      <w:pPr>
        <w:pStyle w:val="ListParagraph"/>
        <w:numPr>
          <w:ilvl w:val="0"/>
          <w:numId w:val="17"/>
        </w:numPr>
        <w:rPr>
          <w:rFonts w:cstheme="minorHAnsi"/>
          <w:sz w:val="24"/>
          <w:szCs w:val="24"/>
        </w:rPr>
      </w:pPr>
      <w:r w:rsidRPr="00CC55BF">
        <w:rPr>
          <w:rFonts w:cstheme="minorHAnsi"/>
          <w:b/>
          <w:bCs/>
          <w:sz w:val="24"/>
          <w:szCs w:val="24"/>
        </w:rPr>
        <w:t>Flooding in Lynwood Crescent</w:t>
      </w:r>
    </w:p>
    <w:p w14:paraId="22C49622" w14:textId="685AF52A" w:rsidR="00CC55BF" w:rsidRDefault="00CC55BF" w:rsidP="00096427">
      <w:pPr>
        <w:spacing w:after="200" w:line="276" w:lineRule="auto"/>
      </w:pPr>
      <w:r>
        <w:t>We note that there have been detailed studies of flooding risk from the site.  The NJP Consulting engineers risk assessment report of flooding is ‘low</w:t>
      </w:r>
      <w:r w:rsidR="005C3E12">
        <w:t>’,</w:t>
      </w:r>
      <w:r>
        <w:t xml:space="preserve"> and the proposed use of permeable paving as stated in the geotechnical report will reduce surface water run-off.  However, the Parish Council note that a number of Lynwood Crescent residents have previously reported flooding of their garden from ground surface water run-off from the site. </w:t>
      </w:r>
    </w:p>
    <w:p w14:paraId="544C113B" w14:textId="15A0F36B" w:rsidR="00096427" w:rsidRPr="00CC55BF" w:rsidRDefault="00CC55BF" w:rsidP="00CC55BF">
      <w:pPr>
        <w:spacing w:after="200" w:line="276" w:lineRule="auto"/>
        <w:rPr>
          <w:shd w:val="clear" w:color="auto" w:fill="FFFF00"/>
        </w:rPr>
      </w:pPr>
      <w:r>
        <w:t>We would like to bring this to the attention of RBWM and seek assurance that this issue is addressed as the published reports suggest if this development goes ahead.</w:t>
      </w:r>
    </w:p>
    <w:p w14:paraId="58B323C6" w14:textId="51BABBFE" w:rsidR="001D4156" w:rsidRPr="002055D6" w:rsidRDefault="002055D6" w:rsidP="001D4156">
      <w:pPr>
        <w:pStyle w:val="ListParagraph"/>
        <w:numPr>
          <w:ilvl w:val="0"/>
          <w:numId w:val="9"/>
        </w:numPr>
        <w:tabs>
          <w:tab w:val="num" w:pos="720"/>
        </w:tabs>
        <w:spacing w:after="0" w:line="240" w:lineRule="auto"/>
        <w:rPr>
          <w:b/>
          <w:bCs/>
          <w:sz w:val="28"/>
          <w:szCs w:val="28"/>
        </w:rPr>
      </w:pPr>
      <w:bookmarkStart w:id="0" w:name="_Hlk41001456"/>
      <w:r w:rsidRPr="002055D6">
        <w:rPr>
          <w:b/>
          <w:bCs/>
          <w:sz w:val="28"/>
          <w:szCs w:val="28"/>
        </w:rPr>
        <w:t>Very Special Circumstances</w:t>
      </w:r>
    </w:p>
    <w:bookmarkEnd w:id="0"/>
    <w:p w14:paraId="0F34980E" w14:textId="10E3ADCC" w:rsidR="002055D6" w:rsidRDefault="002055D6" w:rsidP="002055D6">
      <w:pPr>
        <w:tabs>
          <w:tab w:val="num" w:pos="720"/>
        </w:tabs>
        <w:spacing w:after="0" w:line="240" w:lineRule="auto"/>
        <w:rPr>
          <w:b/>
          <w:bCs/>
        </w:rPr>
      </w:pPr>
    </w:p>
    <w:p w14:paraId="1F735DA8" w14:textId="77777777" w:rsidR="002055D6" w:rsidRPr="002055D6" w:rsidRDefault="002055D6" w:rsidP="002055D6">
      <w:pPr>
        <w:spacing w:after="0" w:line="240" w:lineRule="auto"/>
        <w:contextualSpacing/>
        <w:rPr>
          <w:rFonts w:cstheme="minorHAnsi"/>
          <w:color w:val="0B0C0C"/>
          <w:shd w:val="clear" w:color="auto" w:fill="FFFFFF"/>
        </w:rPr>
      </w:pPr>
      <w:r w:rsidRPr="002055D6">
        <w:rPr>
          <w:rFonts w:cstheme="minorHAnsi"/>
          <w:color w:val="0B0C0C"/>
          <w:shd w:val="clear" w:color="auto" w:fill="FFFFFF"/>
        </w:rPr>
        <w:t>According to NPPF Green belt policy 144 “‘</w:t>
      </w:r>
      <w:r w:rsidRPr="002055D6">
        <w:rPr>
          <w:rFonts w:cstheme="minorHAnsi"/>
          <w:i/>
          <w:iCs/>
          <w:color w:val="0B0C0C"/>
          <w:shd w:val="clear" w:color="auto" w:fill="FFFFFF"/>
        </w:rPr>
        <w:t>Very special circumstances’ will not exist unless the potential harm to the Green Belt by reason of inappropriateness, and any other harm resulting from the proposal, is clearly outweighed by other considerations</w:t>
      </w:r>
      <w:r w:rsidRPr="002055D6">
        <w:rPr>
          <w:rFonts w:cstheme="minorHAnsi"/>
          <w:color w:val="0B0C0C"/>
          <w:shd w:val="clear" w:color="auto" w:fill="FFFFFF"/>
        </w:rPr>
        <w:t>”.</w:t>
      </w:r>
    </w:p>
    <w:p w14:paraId="27DCC1C9" w14:textId="77777777" w:rsidR="002055D6" w:rsidRPr="002055D6" w:rsidRDefault="002055D6" w:rsidP="002055D6">
      <w:pPr>
        <w:spacing w:after="0" w:line="240" w:lineRule="auto"/>
        <w:contextualSpacing/>
        <w:rPr>
          <w:rFonts w:cstheme="minorHAnsi"/>
          <w:color w:val="0B0C0C"/>
          <w:shd w:val="clear" w:color="auto" w:fill="FFFFFF"/>
        </w:rPr>
      </w:pPr>
    </w:p>
    <w:p w14:paraId="5B0307FF" w14:textId="77777777" w:rsidR="002055D6" w:rsidRPr="002055D6" w:rsidRDefault="002055D6" w:rsidP="002055D6">
      <w:pPr>
        <w:spacing w:after="0" w:line="240" w:lineRule="auto"/>
        <w:contextualSpacing/>
        <w:rPr>
          <w:rFonts w:cstheme="minorHAnsi"/>
        </w:rPr>
      </w:pPr>
      <w:r w:rsidRPr="002055D6">
        <w:rPr>
          <w:rFonts w:cstheme="minorHAnsi"/>
        </w:rPr>
        <w:t>In the Planning Statement, the applicant makes many arguments in favour of this development being a benefit to the local area and residents and argues this outweighs the harm to the Green Belt.</w:t>
      </w:r>
    </w:p>
    <w:p w14:paraId="1E56A285" w14:textId="77777777" w:rsidR="002055D6" w:rsidRPr="002055D6" w:rsidRDefault="002055D6" w:rsidP="002055D6">
      <w:pPr>
        <w:spacing w:after="0" w:line="240" w:lineRule="auto"/>
        <w:contextualSpacing/>
        <w:rPr>
          <w:rFonts w:cstheme="minorHAnsi"/>
        </w:rPr>
      </w:pPr>
    </w:p>
    <w:p w14:paraId="7CA59CD5" w14:textId="5D66C7E0" w:rsidR="002055D6" w:rsidRPr="002055D6" w:rsidRDefault="002055D6" w:rsidP="002055D6">
      <w:pPr>
        <w:spacing w:after="0" w:line="240" w:lineRule="auto"/>
        <w:contextualSpacing/>
      </w:pPr>
      <w:r w:rsidRPr="002055D6">
        <w:rPr>
          <w:rFonts w:cstheme="minorHAnsi"/>
        </w:rPr>
        <w:lastRenderedPageBreak/>
        <w:t xml:space="preserve">This application includes a supporting document covering a </w:t>
      </w:r>
      <w:r w:rsidRPr="002055D6">
        <w:t xml:space="preserve">review of alternative sites or potential opportunities for alternative locations for a </w:t>
      </w:r>
      <w:r>
        <w:t>c</w:t>
      </w:r>
      <w:r w:rsidRPr="002055D6">
        <w:t xml:space="preserve">ommunity </w:t>
      </w:r>
      <w:r>
        <w:t>h</w:t>
      </w:r>
      <w:r w:rsidRPr="002055D6">
        <w:t xml:space="preserve">ealth </w:t>
      </w:r>
      <w:r>
        <w:t>c</w:t>
      </w:r>
      <w:r w:rsidRPr="002055D6">
        <w:t xml:space="preserve">entre. This report includes 17 locations which met the criteria - but all were discounted or dismissed without any evidence of any real dialogue with the owners of any of these properties. We would have liked to see some evidence that a serious attempt had been made to find an alternative. </w:t>
      </w:r>
    </w:p>
    <w:p w14:paraId="787E9362" w14:textId="77777777" w:rsidR="002055D6" w:rsidRPr="002055D6" w:rsidRDefault="002055D6" w:rsidP="002055D6">
      <w:pPr>
        <w:spacing w:after="0" w:line="240" w:lineRule="auto"/>
        <w:contextualSpacing/>
      </w:pPr>
    </w:p>
    <w:p w14:paraId="2AE9081F" w14:textId="40BE8A4F" w:rsidR="002055D6" w:rsidRDefault="002055D6" w:rsidP="002055D6">
      <w:pPr>
        <w:rPr>
          <w:rFonts w:cstheme="minorHAnsi"/>
        </w:rPr>
      </w:pPr>
      <w:r w:rsidRPr="002055D6">
        <w:rPr>
          <w:rFonts w:cstheme="minorHAnsi"/>
        </w:rPr>
        <w:t xml:space="preserve">While the provision of a </w:t>
      </w:r>
      <w:r>
        <w:rPr>
          <w:rFonts w:cstheme="minorHAnsi"/>
        </w:rPr>
        <w:t>c</w:t>
      </w:r>
      <w:r w:rsidRPr="002055D6">
        <w:rPr>
          <w:rFonts w:cstheme="minorHAnsi"/>
        </w:rPr>
        <w:t xml:space="preserve">ommunity </w:t>
      </w:r>
      <w:r>
        <w:rPr>
          <w:rFonts w:cstheme="minorHAnsi"/>
        </w:rPr>
        <w:t>h</w:t>
      </w:r>
      <w:r w:rsidRPr="002055D6">
        <w:rPr>
          <w:rFonts w:cstheme="minorHAnsi"/>
        </w:rPr>
        <w:t xml:space="preserve">ealth </w:t>
      </w:r>
      <w:r>
        <w:rPr>
          <w:rFonts w:cstheme="minorHAnsi"/>
        </w:rPr>
        <w:t>h</w:t>
      </w:r>
      <w:r w:rsidRPr="002055D6">
        <w:rPr>
          <w:rFonts w:cstheme="minorHAnsi"/>
        </w:rPr>
        <w:t>ub would be an argument to support Very Special Circumstances, there are many aspects of this application that do not outweigh the harm of this development, namely</w:t>
      </w:r>
    </w:p>
    <w:p w14:paraId="53354060" w14:textId="77777777" w:rsidR="002055D6" w:rsidRDefault="002055D6" w:rsidP="002055D6">
      <w:pPr>
        <w:pStyle w:val="ListParagraph"/>
        <w:numPr>
          <w:ilvl w:val="0"/>
          <w:numId w:val="20"/>
        </w:numPr>
        <w:rPr>
          <w:rFonts w:cstheme="minorHAnsi"/>
        </w:rPr>
      </w:pPr>
      <w:r w:rsidRPr="002055D6">
        <w:rPr>
          <w:rFonts w:cstheme="minorHAnsi"/>
        </w:rPr>
        <w:t>Development of an overly large buildin</w:t>
      </w:r>
      <w:r>
        <w:rPr>
          <w:rFonts w:cstheme="minorHAnsi"/>
        </w:rPr>
        <w:t>g</w:t>
      </w:r>
    </w:p>
    <w:p w14:paraId="7078A51D" w14:textId="77777777" w:rsidR="002055D6" w:rsidRDefault="002055D6" w:rsidP="002055D6">
      <w:pPr>
        <w:pStyle w:val="ListParagraph"/>
        <w:numPr>
          <w:ilvl w:val="0"/>
          <w:numId w:val="20"/>
        </w:numPr>
        <w:rPr>
          <w:rFonts w:cstheme="minorHAnsi"/>
        </w:rPr>
      </w:pPr>
      <w:r w:rsidRPr="002055D6">
        <w:rPr>
          <w:rFonts w:cstheme="minorHAnsi"/>
        </w:rPr>
        <w:t>Creation of an administration centre catering for four GP practices</w:t>
      </w:r>
    </w:p>
    <w:p w14:paraId="10B55C34" w14:textId="77777777" w:rsidR="002055D6" w:rsidRDefault="002055D6" w:rsidP="002055D6">
      <w:pPr>
        <w:pStyle w:val="ListParagraph"/>
        <w:numPr>
          <w:ilvl w:val="0"/>
          <w:numId w:val="20"/>
        </w:numPr>
        <w:rPr>
          <w:rFonts w:cstheme="minorHAnsi"/>
        </w:rPr>
      </w:pPr>
      <w:r w:rsidRPr="002055D6">
        <w:rPr>
          <w:rFonts w:cstheme="minorHAnsi"/>
        </w:rPr>
        <w:t>Removal of a significant number of trees, especially the category A trees</w:t>
      </w:r>
    </w:p>
    <w:p w14:paraId="140E0120" w14:textId="77777777" w:rsidR="002055D6" w:rsidRDefault="002055D6" w:rsidP="002055D6">
      <w:pPr>
        <w:pStyle w:val="ListParagraph"/>
        <w:numPr>
          <w:ilvl w:val="0"/>
          <w:numId w:val="20"/>
        </w:numPr>
        <w:rPr>
          <w:rFonts w:cstheme="minorHAnsi"/>
        </w:rPr>
      </w:pPr>
      <w:r w:rsidRPr="002055D6">
        <w:rPr>
          <w:rFonts w:cstheme="minorHAnsi"/>
        </w:rPr>
        <w:t>Potential for car parking problems and overspill into the surrounding streets</w:t>
      </w:r>
    </w:p>
    <w:p w14:paraId="5D2FCC8E" w14:textId="77777777" w:rsidR="002055D6" w:rsidRDefault="002055D6" w:rsidP="002055D6">
      <w:pPr>
        <w:pStyle w:val="ListParagraph"/>
        <w:numPr>
          <w:ilvl w:val="0"/>
          <w:numId w:val="20"/>
        </w:numPr>
        <w:rPr>
          <w:rFonts w:cstheme="minorHAnsi"/>
        </w:rPr>
      </w:pPr>
      <w:r w:rsidRPr="002055D6">
        <w:rPr>
          <w:rFonts w:cstheme="minorHAnsi"/>
        </w:rPr>
        <w:t>Reduction of Green Belt and the Gap between Villages.</w:t>
      </w:r>
    </w:p>
    <w:p w14:paraId="6C8CF80B" w14:textId="04A0081E" w:rsidR="002055D6" w:rsidRDefault="002055D6" w:rsidP="002055D6">
      <w:pPr>
        <w:pStyle w:val="ListParagraph"/>
        <w:ind w:left="1080"/>
        <w:rPr>
          <w:rFonts w:cstheme="minorHAnsi"/>
        </w:rPr>
      </w:pPr>
    </w:p>
    <w:p w14:paraId="0A6429E3" w14:textId="77777777" w:rsidR="002055D6" w:rsidRPr="002055D6" w:rsidRDefault="002055D6" w:rsidP="002055D6">
      <w:pPr>
        <w:pStyle w:val="ListParagraph"/>
        <w:ind w:left="1080"/>
        <w:rPr>
          <w:rFonts w:cstheme="minorHAnsi"/>
        </w:rPr>
      </w:pPr>
    </w:p>
    <w:p w14:paraId="201A65FD" w14:textId="43981D2C" w:rsidR="00D96DBD" w:rsidRPr="002055D6" w:rsidRDefault="002055D6" w:rsidP="0057781A">
      <w:pPr>
        <w:pStyle w:val="ListParagraph"/>
        <w:numPr>
          <w:ilvl w:val="0"/>
          <w:numId w:val="26"/>
        </w:numPr>
        <w:rPr>
          <w:rFonts w:cstheme="minorHAnsi"/>
          <w:b/>
          <w:bCs/>
        </w:rPr>
      </w:pPr>
      <w:r w:rsidRPr="002055D6">
        <w:rPr>
          <w:rFonts w:cstheme="minorHAnsi"/>
          <w:b/>
          <w:bCs/>
          <w:sz w:val="28"/>
          <w:szCs w:val="28"/>
        </w:rPr>
        <w:t>COVID-19</w:t>
      </w:r>
    </w:p>
    <w:p w14:paraId="669B79C1" w14:textId="6208F7EC" w:rsidR="00B12DD0" w:rsidRDefault="00DC4C2B">
      <w:pPr>
        <w:rPr>
          <w:rFonts w:cstheme="minorHAnsi"/>
        </w:rPr>
      </w:pPr>
      <w:r w:rsidRPr="0057418D">
        <w:rPr>
          <w:rFonts w:cstheme="minorHAnsi"/>
        </w:rPr>
        <w:t>Whilst the true extent of the C</w:t>
      </w:r>
      <w:r w:rsidR="002055D6" w:rsidRPr="0057418D">
        <w:rPr>
          <w:rFonts w:cstheme="minorHAnsi"/>
        </w:rPr>
        <w:t>OVID</w:t>
      </w:r>
      <w:r w:rsidRPr="0057418D">
        <w:rPr>
          <w:rFonts w:cstheme="minorHAnsi"/>
        </w:rPr>
        <w:t xml:space="preserve">-19 situation was not known at the time of the planning submission it is apparent that this will have a </w:t>
      </w:r>
      <w:r w:rsidR="0016510B" w:rsidRPr="0057418D">
        <w:rPr>
          <w:rFonts w:cstheme="minorHAnsi"/>
        </w:rPr>
        <w:t>long-term</w:t>
      </w:r>
      <w:r w:rsidRPr="0057418D">
        <w:rPr>
          <w:rFonts w:cstheme="minorHAnsi"/>
        </w:rPr>
        <w:t xml:space="preserve"> effect on the provision of community health care. For RBWM to consider a planning application for a new </w:t>
      </w:r>
      <w:r w:rsidR="002055D6" w:rsidRPr="0057418D">
        <w:rPr>
          <w:rFonts w:cstheme="minorHAnsi"/>
        </w:rPr>
        <w:t>c</w:t>
      </w:r>
      <w:r w:rsidRPr="0057418D">
        <w:rPr>
          <w:rFonts w:cstheme="minorHAnsi"/>
        </w:rPr>
        <w:t xml:space="preserve">ommunity </w:t>
      </w:r>
      <w:r w:rsidR="002055D6" w:rsidRPr="0057418D">
        <w:rPr>
          <w:rFonts w:cstheme="minorHAnsi"/>
        </w:rPr>
        <w:t>health h</w:t>
      </w:r>
      <w:r w:rsidRPr="0057418D">
        <w:rPr>
          <w:rFonts w:cstheme="minorHAnsi"/>
        </w:rPr>
        <w:t>ub without any reference to C</w:t>
      </w:r>
      <w:r w:rsidR="002055D6" w:rsidRPr="0057418D">
        <w:rPr>
          <w:rFonts w:cstheme="minorHAnsi"/>
        </w:rPr>
        <w:t>OVID</w:t>
      </w:r>
      <w:r w:rsidRPr="0057418D">
        <w:rPr>
          <w:rFonts w:cstheme="minorHAnsi"/>
        </w:rPr>
        <w:t>-19 would</w:t>
      </w:r>
      <w:r w:rsidR="004D43DC" w:rsidRPr="0057418D">
        <w:rPr>
          <w:rFonts w:cstheme="minorHAnsi"/>
        </w:rPr>
        <w:t xml:space="preserve"> be difficult to justify</w:t>
      </w:r>
      <w:r w:rsidRPr="0057418D">
        <w:rPr>
          <w:rFonts w:cstheme="minorHAnsi"/>
        </w:rPr>
        <w:t xml:space="preserve">. Therefore, the Parish Council would encourage East Berkshire CCG to submit an addendum to this planning application that might reflect the NHS England view on community health care provision </w:t>
      </w:r>
      <w:r w:rsidR="004D43DC" w:rsidRPr="0057418D">
        <w:rPr>
          <w:rFonts w:cstheme="minorHAnsi"/>
        </w:rPr>
        <w:t xml:space="preserve">post </w:t>
      </w:r>
      <w:r w:rsidRPr="0057418D">
        <w:rPr>
          <w:rFonts w:cstheme="minorHAnsi"/>
        </w:rPr>
        <w:t>C</w:t>
      </w:r>
      <w:r w:rsidR="002055D6" w:rsidRPr="0057418D">
        <w:rPr>
          <w:rFonts w:cstheme="minorHAnsi"/>
        </w:rPr>
        <w:t>OVID</w:t>
      </w:r>
      <w:r w:rsidRPr="0057418D">
        <w:rPr>
          <w:rFonts w:cstheme="minorHAnsi"/>
        </w:rPr>
        <w:t xml:space="preserve">-19. For example, </w:t>
      </w:r>
      <w:r w:rsidR="004D43DC" w:rsidRPr="0057418D">
        <w:rPr>
          <w:rFonts w:cstheme="minorHAnsi"/>
        </w:rPr>
        <w:t>C</w:t>
      </w:r>
      <w:r w:rsidR="002055D6" w:rsidRPr="0057418D">
        <w:rPr>
          <w:rFonts w:cstheme="minorHAnsi"/>
        </w:rPr>
        <w:t>OVID</w:t>
      </w:r>
      <w:r w:rsidRPr="0057418D">
        <w:rPr>
          <w:rFonts w:cstheme="minorHAnsi"/>
        </w:rPr>
        <w:t xml:space="preserve">-19 is likely to result in increased telephone triage consultations with patients rather than face to face </w:t>
      </w:r>
      <w:r w:rsidR="002055D6" w:rsidRPr="0057418D">
        <w:rPr>
          <w:rFonts w:cstheme="minorHAnsi"/>
        </w:rPr>
        <w:t>consultation</w:t>
      </w:r>
      <w:r w:rsidRPr="0057418D">
        <w:rPr>
          <w:rFonts w:cstheme="minorHAnsi"/>
        </w:rPr>
        <w:t>.</w:t>
      </w:r>
      <w:r w:rsidR="001C58C9" w:rsidRPr="0057418D">
        <w:rPr>
          <w:rFonts w:cstheme="minorHAnsi"/>
        </w:rPr>
        <w:t xml:space="preserve"> Also, </w:t>
      </w:r>
      <w:r w:rsidR="002055D6" w:rsidRPr="0057418D">
        <w:rPr>
          <w:rFonts w:cstheme="minorHAnsi"/>
        </w:rPr>
        <w:t xml:space="preserve">architecturally, </w:t>
      </w:r>
      <w:r w:rsidR="001C58C9" w:rsidRPr="0057418D">
        <w:rPr>
          <w:rFonts w:cstheme="minorHAnsi"/>
        </w:rPr>
        <w:t xml:space="preserve">is there a need for separate entry and exit points </w:t>
      </w:r>
      <w:r w:rsidR="004D43DC" w:rsidRPr="0057418D">
        <w:rPr>
          <w:rFonts w:cstheme="minorHAnsi"/>
        </w:rPr>
        <w:t>to the building</w:t>
      </w:r>
      <w:r w:rsidR="001C58C9" w:rsidRPr="0057418D">
        <w:rPr>
          <w:rFonts w:cstheme="minorHAnsi"/>
        </w:rPr>
        <w:t>?</w:t>
      </w:r>
      <w:r w:rsidR="004D43DC">
        <w:rPr>
          <w:rFonts w:cstheme="minorHAnsi"/>
        </w:rPr>
        <w:t xml:space="preserve"> </w:t>
      </w:r>
    </w:p>
    <w:p w14:paraId="0D1BF3DA" w14:textId="77777777" w:rsidR="0016510B" w:rsidRDefault="0016510B">
      <w:pPr>
        <w:rPr>
          <w:rFonts w:cstheme="minorHAnsi"/>
        </w:rPr>
      </w:pPr>
    </w:p>
    <w:p w14:paraId="3E6D2DC7" w14:textId="77777777" w:rsidR="005C6F1C" w:rsidRDefault="005C6F1C" w:rsidP="0057781A">
      <w:pPr>
        <w:pStyle w:val="ListParagraph"/>
        <w:numPr>
          <w:ilvl w:val="0"/>
          <w:numId w:val="26"/>
        </w:numPr>
        <w:rPr>
          <w:rFonts w:cstheme="minorHAnsi"/>
          <w:b/>
          <w:bCs/>
          <w:sz w:val="28"/>
          <w:szCs w:val="28"/>
        </w:rPr>
      </w:pPr>
      <w:r w:rsidRPr="005C6F1C">
        <w:rPr>
          <w:rFonts w:cstheme="minorHAnsi"/>
          <w:b/>
          <w:bCs/>
          <w:sz w:val="28"/>
          <w:szCs w:val="28"/>
        </w:rPr>
        <w:t>Duration of the Lease</w:t>
      </w:r>
    </w:p>
    <w:p w14:paraId="674CCB0E" w14:textId="77777777" w:rsidR="0016510B" w:rsidRDefault="005C6F1C" w:rsidP="005C6F1C">
      <w:pPr>
        <w:rPr>
          <w:rFonts w:cstheme="minorHAnsi"/>
          <w:i/>
          <w:iCs/>
        </w:rPr>
      </w:pPr>
      <w:r w:rsidRPr="005C6F1C">
        <w:rPr>
          <w:rFonts w:cstheme="minorHAnsi"/>
        </w:rPr>
        <w:t>A previous application (17/01188/FULL)</w:t>
      </w:r>
      <w:r w:rsidR="006B1074">
        <w:rPr>
          <w:rFonts w:cstheme="minorHAnsi"/>
        </w:rPr>
        <w:t xml:space="preserve"> indicated that the leasehold would only extend to 15 years which was clearly unacceptable with possible change of use implications. This application is more encouraging but increased clarity and certainty are required as the application only states that ‘</w:t>
      </w:r>
      <w:r w:rsidR="006B1074" w:rsidRPr="006B1074">
        <w:rPr>
          <w:rFonts w:cstheme="minorHAnsi"/>
          <w:i/>
          <w:iCs/>
        </w:rPr>
        <w:t>the CCG are working with Ben Lynwood on the details of the lease arrangements which is currently intended to be a 40 year lease of the building with a break after 25 years’</w:t>
      </w:r>
      <w:r w:rsidR="006B1074">
        <w:rPr>
          <w:rFonts w:cstheme="minorHAnsi"/>
          <w:i/>
          <w:iCs/>
        </w:rPr>
        <w:t xml:space="preserve">. </w:t>
      </w:r>
    </w:p>
    <w:p w14:paraId="2F040187" w14:textId="26A9CEFE" w:rsidR="008B0C21" w:rsidRDefault="006B1074" w:rsidP="005C6F1C">
      <w:pPr>
        <w:rPr>
          <w:rFonts w:cstheme="minorHAnsi"/>
        </w:rPr>
      </w:pPr>
      <w:r w:rsidRPr="006B1074">
        <w:rPr>
          <w:rFonts w:cstheme="minorHAnsi"/>
        </w:rPr>
        <w:t xml:space="preserve">Any approval of this application must surely only be granted when </w:t>
      </w:r>
      <w:r>
        <w:rPr>
          <w:rFonts w:cstheme="minorHAnsi"/>
        </w:rPr>
        <w:t>an acceptable lease term can be legally enforced</w:t>
      </w:r>
      <w:r w:rsidR="008B0C21">
        <w:rPr>
          <w:rFonts w:cstheme="minorHAnsi"/>
        </w:rPr>
        <w:t>. The multiple sites that the applicant has already discounted under Very Special Circumstances demonstrates the difficulty of finding an alternative site today let alone in 25</w:t>
      </w:r>
      <w:r w:rsidR="00CE7533">
        <w:rPr>
          <w:rFonts w:cstheme="minorHAnsi"/>
        </w:rPr>
        <w:t xml:space="preserve"> or 40 years time. </w:t>
      </w:r>
      <w:r w:rsidR="005C3E12">
        <w:rPr>
          <w:rFonts w:cstheme="minorHAnsi"/>
        </w:rPr>
        <w:t>To</w:t>
      </w:r>
      <w:r w:rsidR="00CE7533">
        <w:rPr>
          <w:rFonts w:cstheme="minorHAnsi"/>
        </w:rPr>
        <w:t xml:space="preserve"> justify Very Special Circumstances a guaranteed lease period in excess of 40 years must surely be a pre</w:t>
      </w:r>
      <w:r w:rsidR="00E53514">
        <w:rPr>
          <w:rFonts w:cstheme="minorHAnsi"/>
        </w:rPr>
        <w:t>-</w:t>
      </w:r>
      <w:r w:rsidR="00CE7533">
        <w:rPr>
          <w:rFonts w:cstheme="minorHAnsi"/>
        </w:rPr>
        <w:t>requisite</w:t>
      </w:r>
      <w:r w:rsidR="00150AA1">
        <w:rPr>
          <w:rFonts w:cstheme="minorHAnsi"/>
        </w:rPr>
        <w:t xml:space="preserve"> for planning approval.</w:t>
      </w:r>
    </w:p>
    <w:p w14:paraId="7036916E" w14:textId="77777777" w:rsidR="0016510B" w:rsidRDefault="0016510B" w:rsidP="005C6F1C">
      <w:pPr>
        <w:rPr>
          <w:rFonts w:cstheme="minorHAnsi"/>
        </w:rPr>
      </w:pPr>
    </w:p>
    <w:p w14:paraId="48E4EB3A" w14:textId="00473359" w:rsidR="008B0C21" w:rsidRDefault="008B0C21" w:rsidP="0057781A">
      <w:pPr>
        <w:pStyle w:val="ListParagraph"/>
        <w:numPr>
          <w:ilvl w:val="0"/>
          <w:numId w:val="26"/>
        </w:numPr>
        <w:rPr>
          <w:rFonts w:cstheme="minorHAnsi"/>
          <w:b/>
          <w:bCs/>
          <w:sz w:val="28"/>
          <w:szCs w:val="28"/>
        </w:rPr>
      </w:pPr>
      <w:r w:rsidRPr="008B0C21">
        <w:rPr>
          <w:rFonts w:cstheme="minorHAnsi"/>
          <w:b/>
          <w:bCs/>
          <w:sz w:val="28"/>
          <w:szCs w:val="28"/>
        </w:rPr>
        <w:t>Land to the South of the community health hub</w:t>
      </w:r>
    </w:p>
    <w:p w14:paraId="0F6106CD" w14:textId="4AA0BA13" w:rsidR="00433CCB" w:rsidRDefault="00E53514">
      <w:pPr>
        <w:rPr>
          <w:rFonts w:cstheme="minorHAnsi"/>
        </w:rPr>
      </w:pPr>
      <w:r w:rsidRPr="00E53514">
        <w:rPr>
          <w:rFonts w:cstheme="minorHAnsi"/>
        </w:rPr>
        <w:t xml:space="preserve">The repositioning of the building on the site </w:t>
      </w:r>
      <w:r>
        <w:rPr>
          <w:rFonts w:cstheme="minorHAnsi"/>
        </w:rPr>
        <w:t xml:space="preserve">closer to the Ben Lynwood care home than in previous applications has helped to minimise any infill on the Green Belt. However, it is crucial that this gap and open space remains with no pressure for any future infilling, building development or car </w:t>
      </w:r>
      <w:r>
        <w:rPr>
          <w:rFonts w:cstheme="minorHAnsi"/>
        </w:rPr>
        <w:lastRenderedPageBreak/>
        <w:t xml:space="preserve">parking. The Parish Council would request that provision is made to safeguard, </w:t>
      </w:r>
      <w:r w:rsidR="005C3E12">
        <w:rPr>
          <w:rFonts w:cstheme="minorHAnsi"/>
        </w:rPr>
        <w:t>preserve,</w:t>
      </w:r>
      <w:r>
        <w:rPr>
          <w:rFonts w:cstheme="minorHAnsi"/>
        </w:rPr>
        <w:t xml:space="preserve"> and maintain this valuable area of Green Belt for the foreseeable future.</w:t>
      </w:r>
    </w:p>
    <w:p w14:paraId="6DAE34FC" w14:textId="77777777" w:rsidR="0016510B" w:rsidRPr="00741469" w:rsidRDefault="0016510B">
      <w:pPr>
        <w:rPr>
          <w:rFonts w:cstheme="minorHAnsi"/>
        </w:rPr>
      </w:pPr>
    </w:p>
    <w:p w14:paraId="0F55C354" w14:textId="3773FCBD" w:rsidR="004473AD" w:rsidRPr="00741469" w:rsidRDefault="004473AD" w:rsidP="0057781A">
      <w:pPr>
        <w:pStyle w:val="ListParagraph"/>
        <w:numPr>
          <w:ilvl w:val="0"/>
          <w:numId w:val="26"/>
        </w:numPr>
        <w:rPr>
          <w:rFonts w:cstheme="minorHAnsi"/>
          <w:b/>
          <w:bCs/>
          <w:sz w:val="28"/>
          <w:szCs w:val="28"/>
        </w:rPr>
      </w:pPr>
      <w:r w:rsidRPr="00741469">
        <w:rPr>
          <w:rFonts w:cstheme="minorHAnsi"/>
          <w:b/>
          <w:bCs/>
          <w:sz w:val="28"/>
          <w:szCs w:val="28"/>
        </w:rPr>
        <w:t>Conclusion</w:t>
      </w:r>
    </w:p>
    <w:p w14:paraId="6F0859F1" w14:textId="6366620F" w:rsidR="0089706B" w:rsidRPr="00065E91" w:rsidRDefault="00EC17CD">
      <w:pPr>
        <w:rPr>
          <w:rFonts w:cstheme="minorHAnsi"/>
        </w:rPr>
      </w:pPr>
      <w:r w:rsidRPr="00065E91">
        <w:rPr>
          <w:rFonts w:cstheme="minorHAnsi"/>
        </w:rPr>
        <w:t xml:space="preserve">The Parish </w:t>
      </w:r>
      <w:r w:rsidRPr="00752F7A">
        <w:rPr>
          <w:rFonts w:cstheme="minorHAnsi"/>
        </w:rPr>
        <w:t xml:space="preserve">Council agree and </w:t>
      </w:r>
      <w:r w:rsidR="0016510B" w:rsidRPr="00752F7A">
        <w:rPr>
          <w:rFonts w:cstheme="minorHAnsi"/>
        </w:rPr>
        <w:t xml:space="preserve">are </w:t>
      </w:r>
      <w:r w:rsidRPr="00752F7A">
        <w:rPr>
          <w:rFonts w:cstheme="minorHAnsi"/>
        </w:rPr>
        <w:t>support</w:t>
      </w:r>
      <w:r w:rsidR="0016510B" w:rsidRPr="00752F7A">
        <w:rPr>
          <w:rFonts w:cstheme="minorHAnsi"/>
        </w:rPr>
        <w:t>ive of</w:t>
      </w:r>
      <w:r w:rsidRPr="00752F7A">
        <w:rPr>
          <w:rFonts w:cstheme="minorHAnsi"/>
        </w:rPr>
        <w:t xml:space="preserve"> the </w:t>
      </w:r>
      <w:r w:rsidR="0016510B" w:rsidRPr="00752F7A">
        <w:rPr>
          <w:rFonts w:cstheme="minorHAnsi"/>
        </w:rPr>
        <w:t>need</w:t>
      </w:r>
      <w:r w:rsidR="0016510B">
        <w:rPr>
          <w:rFonts w:cstheme="minorHAnsi"/>
        </w:rPr>
        <w:t xml:space="preserve"> for </w:t>
      </w:r>
      <w:r w:rsidRPr="00065E91">
        <w:rPr>
          <w:rFonts w:cstheme="minorHAnsi"/>
        </w:rPr>
        <w:t xml:space="preserve">provision of a modern, up to date community health hub. The current location </w:t>
      </w:r>
      <w:r w:rsidR="00065E91">
        <w:rPr>
          <w:rFonts w:cstheme="minorHAnsi"/>
        </w:rPr>
        <w:t xml:space="preserve">proposed </w:t>
      </w:r>
      <w:r w:rsidRPr="00065E91">
        <w:rPr>
          <w:rFonts w:cstheme="minorHAnsi"/>
        </w:rPr>
        <w:t>is probably the best proposal that has been put forward so far for its position on this site</w:t>
      </w:r>
      <w:r w:rsidR="00C822BF" w:rsidRPr="00065E91">
        <w:rPr>
          <w:rFonts w:cstheme="minorHAnsi"/>
        </w:rPr>
        <w:t>. Th</w:t>
      </w:r>
      <w:r w:rsidRPr="00065E91">
        <w:rPr>
          <w:rFonts w:cstheme="minorHAnsi"/>
        </w:rPr>
        <w:t xml:space="preserve">e gap between villages is maintained and the probability of building creep between </w:t>
      </w:r>
      <w:r w:rsidR="0089706B" w:rsidRPr="00065E91">
        <w:rPr>
          <w:rFonts w:cstheme="minorHAnsi"/>
        </w:rPr>
        <w:t>B</w:t>
      </w:r>
      <w:r w:rsidRPr="00065E91">
        <w:rPr>
          <w:rFonts w:cstheme="minorHAnsi"/>
        </w:rPr>
        <w:t xml:space="preserve">en Lynwood and the </w:t>
      </w:r>
      <w:r w:rsidR="00065E91">
        <w:rPr>
          <w:rFonts w:cstheme="minorHAnsi"/>
        </w:rPr>
        <w:t>c</w:t>
      </w:r>
      <w:r w:rsidRPr="00065E91">
        <w:rPr>
          <w:rFonts w:cstheme="minorHAnsi"/>
        </w:rPr>
        <w:t xml:space="preserve">ommunity </w:t>
      </w:r>
      <w:r w:rsidR="00065E91">
        <w:rPr>
          <w:rFonts w:cstheme="minorHAnsi"/>
        </w:rPr>
        <w:t xml:space="preserve">health </w:t>
      </w:r>
      <w:r w:rsidRPr="00065E91">
        <w:rPr>
          <w:rFonts w:cstheme="minorHAnsi"/>
        </w:rPr>
        <w:t xml:space="preserve">hub </w:t>
      </w:r>
      <w:r w:rsidR="00C822BF" w:rsidRPr="00065E91">
        <w:rPr>
          <w:rFonts w:cstheme="minorHAnsi"/>
        </w:rPr>
        <w:t xml:space="preserve">has also </w:t>
      </w:r>
      <w:r w:rsidRPr="00065E91">
        <w:rPr>
          <w:rFonts w:cstheme="minorHAnsi"/>
        </w:rPr>
        <w:t xml:space="preserve">been lessened. The Parish Council find it hard to support the removal of so many specimen TPO trees to the north of the site and would request that some building adjustment might be considered to save them. </w:t>
      </w:r>
    </w:p>
    <w:p w14:paraId="3CD93DD2" w14:textId="424F415F" w:rsidR="00065E91" w:rsidRDefault="0089706B">
      <w:pPr>
        <w:rPr>
          <w:rFonts w:cstheme="minorHAnsi"/>
        </w:rPr>
      </w:pPr>
      <w:r w:rsidRPr="00065E91">
        <w:rPr>
          <w:rFonts w:cstheme="minorHAnsi"/>
        </w:rPr>
        <w:t xml:space="preserve">What is harder to justify is that so much of this the </w:t>
      </w:r>
      <w:r w:rsidR="00065E91">
        <w:rPr>
          <w:rFonts w:cstheme="minorHAnsi"/>
        </w:rPr>
        <w:t>c</w:t>
      </w:r>
      <w:r w:rsidRPr="00065E91">
        <w:rPr>
          <w:rFonts w:cstheme="minorHAnsi"/>
        </w:rPr>
        <w:t xml:space="preserve">ommunity </w:t>
      </w:r>
      <w:r w:rsidR="00065E91">
        <w:rPr>
          <w:rFonts w:cstheme="minorHAnsi"/>
        </w:rPr>
        <w:t>health h</w:t>
      </w:r>
      <w:r w:rsidRPr="00065E91">
        <w:rPr>
          <w:rFonts w:cstheme="minorHAnsi"/>
        </w:rPr>
        <w:t>ub is</w:t>
      </w:r>
      <w:r w:rsidR="00065E91">
        <w:rPr>
          <w:rFonts w:cstheme="minorHAnsi"/>
        </w:rPr>
        <w:t xml:space="preserve"> a </w:t>
      </w:r>
      <w:r w:rsidRPr="00065E91">
        <w:rPr>
          <w:rFonts w:cstheme="minorHAnsi"/>
        </w:rPr>
        <w:t xml:space="preserve">large administrative centre </w:t>
      </w:r>
      <w:r w:rsidR="00065E91">
        <w:rPr>
          <w:rFonts w:cstheme="minorHAnsi"/>
        </w:rPr>
        <w:t>which</w:t>
      </w:r>
      <w:r w:rsidRPr="00065E91">
        <w:rPr>
          <w:rFonts w:cstheme="minorHAnsi"/>
        </w:rPr>
        <w:t xml:space="preserve"> contravenes all Green Belt policies. </w:t>
      </w:r>
      <w:r w:rsidR="00065E91">
        <w:rPr>
          <w:rFonts w:cstheme="minorHAnsi"/>
        </w:rPr>
        <w:t xml:space="preserve"> T</w:t>
      </w:r>
      <w:r w:rsidRPr="00065E91">
        <w:rPr>
          <w:rFonts w:cstheme="minorHAnsi"/>
        </w:rPr>
        <w:t>he proposed size of the building</w:t>
      </w:r>
      <w:r w:rsidR="00065E91">
        <w:rPr>
          <w:rFonts w:cstheme="minorHAnsi"/>
        </w:rPr>
        <w:t xml:space="preserve"> and especially the number of clinical and consulting rooms does not seem to be supported by the provision of health care personnel relative to the proposed increase in population</w:t>
      </w:r>
      <w:r w:rsidR="001A10B3" w:rsidRPr="00065E91">
        <w:rPr>
          <w:rFonts w:cstheme="minorHAnsi"/>
        </w:rPr>
        <w:t>. As we have stated the gross internal area of the Community Hub is 28% bigger than the retail space at Waitrose , Sunningdale.</w:t>
      </w:r>
      <w:r w:rsidR="00065E91">
        <w:rPr>
          <w:rFonts w:cstheme="minorHAnsi"/>
        </w:rPr>
        <w:br/>
      </w:r>
      <w:r w:rsidR="00B42717" w:rsidRPr="00065E91">
        <w:rPr>
          <w:rFonts w:cstheme="minorHAnsi"/>
        </w:rPr>
        <w:br/>
        <w:t xml:space="preserve">The planning enforcement notices that have resulted in the site currently being used as permanent overspill parking for </w:t>
      </w:r>
      <w:r w:rsidR="001A10B3" w:rsidRPr="00065E91">
        <w:rPr>
          <w:rFonts w:cstheme="minorHAnsi"/>
        </w:rPr>
        <w:t>B</w:t>
      </w:r>
      <w:r w:rsidR="00B42717" w:rsidRPr="00065E91">
        <w:rPr>
          <w:rFonts w:cstheme="minorHAnsi"/>
        </w:rPr>
        <w:t xml:space="preserve">en Lynwood must be managed if this application is approved. Parking must be for the </w:t>
      </w:r>
      <w:r w:rsidR="00065E91">
        <w:rPr>
          <w:rFonts w:cstheme="minorHAnsi"/>
        </w:rPr>
        <w:t>c</w:t>
      </w:r>
      <w:r w:rsidR="00B42717" w:rsidRPr="00065E91">
        <w:rPr>
          <w:rFonts w:cstheme="minorHAnsi"/>
        </w:rPr>
        <w:t xml:space="preserve">ommunity </w:t>
      </w:r>
      <w:r w:rsidR="00065E91">
        <w:rPr>
          <w:rFonts w:cstheme="minorHAnsi"/>
        </w:rPr>
        <w:t xml:space="preserve">health </w:t>
      </w:r>
      <w:r w:rsidR="00B42717" w:rsidRPr="00065E91">
        <w:rPr>
          <w:rFonts w:cstheme="minorHAnsi"/>
        </w:rPr>
        <w:t>hub only.</w:t>
      </w:r>
      <w:r w:rsidR="00065E91">
        <w:rPr>
          <w:rFonts w:cstheme="minorHAnsi"/>
        </w:rPr>
        <w:br/>
      </w:r>
      <w:r w:rsidR="00BF32F9" w:rsidRPr="00065E91">
        <w:rPr>
          <w:rFonts w:cstheme="minorHAnsi"/>
        </w:rPr>
        <w:br/>
      </w:r>
      <w:r w:rsidR="009F5557">
        <w:rPr>
          <w:rFonts w:cstheme="minorHAnsi"/>
        </w:rPr>
        <w:t>An</w:t>
      </w:r>
      <w:r w:rsidR="00BF32F9" w:rsidRPr="00065E91">
        <w:rPr>
          <w:rFonts w:cstheme="minorHAnsi"/>
        </w:rPr>
        <w:t xml:space="preserve"> addendum considering the NHS England provisional long</w:t>
      </w:r>
      <w:r w:rsidR="009F5557">
        <w:rPr>
          <w:rFonts w:cstheme="minorHAnsi"/>
        </w:rPr>
        <w:t>-</w:t>
      </w:r>
      <w:r w:rsidR="00BF32F9" w:rsidRPr="00065E91">
        <w:rPr>
          <w:rFonts w:cstheme="minorHAnsi"/>
        </w:rPr>
        <w:t>term approach to managing community health care post C</w:t>
      </w:r>
      <w:r w:rsidR="00065E91">
        <w:rPr>
          <w:rFonts w:cstheme="minorHAnsi"/>
        </w:rPr>
        <w:t>OVID</w:t>
      </w:r>
      <w:r w:rsidR="00BF32F9" w:rsidRPr="00065E91">
        <w:rPr>
          <w:rFonts w:cstheme="minorHAnsi"/>
        </w:rPr>
        <w:t xml:space="preserve"> -19 </w:t>
      </w:r>
      <w:r w:rsidR="009F5557">
        <w:rPr>
          <w:rFonts w:cstheme="minorHAnsi"/>
        </w:rPr>
        <w:t xml:space="preserve">also </w:t>
      </w:r>
      <w:r w:rsidR="00BF32F9" w:rsidRPr="00065E91">
        <w:rPr>
          <w:rFonts w:cstheme="minorHAnsi"/>
        </w:rPr>
        <w:t>needs to be included</w:t>
      </w:r>
      <w:r w:rsidR="00065E91">
        <w:rPr>
          <w:rFonts w:cstheme="minorHAnsi"/>
        </w:rPr>
        <w:t>.</w:t>
      </w:r>
    </w:p>
    <w:p w14:paraId="1AF3B0F4" w14:textId="77777777" w:rsidR="000F361E" w:rsidRDefault="00741469">
      <w:pPr>
        <w:rPr>
          <w:rFonts w:cstheme="minorHAnsi"/>
        </w:rPr>
      </w:pPr>
      <w:r>
        <w:rPr>
          <w:rFonts w:cstheme="minorHAnsi"/>
        </w:rPr>
        <w:t>The lease arrangements must be finalised to guarantee in excess of 40 years of occupancy and the area to the south must remain as natural space within the Green Belt.</w:t>
      </w:r>
      <w:r>
        <w:rPr>
          <w:rFonts w:cstheme="minorHAnsi"/>
        </w:rPr>
        <w:br/>
      </w:r>
      <w:r w:rsidR="00BF32F9" w:rsidRPr="00065E91">
        <w:rPr>
          <w:rFonts w:cstheme="minorHAnsi"/>
        </w:rPr>
        <w:br/>
        <w:t xml:space="preserve">The Parish Council therefore broadly support this proposal but </w:t>
      </w:r>
      <w:r>
        <w:rPr>
          <w:rFonts w:cstheme="minorHAnsi"/>
        </w:rPr>
        <w:t xml:space="preserve">it is evident that </w:t>
      </w:r>
      <w:r w:rsidR="00BF32F9" w:rsidRPr="00065E91">
        <w:rPr>
          <w:rFonts w:cstheme="minorHAnsi"/>
        </w:rPr>
        <w:t xml:space="preserve">answers to the above questions </w:t>
      </w:r>
      <w:r>
        <w:rPr>
          <w:rFonts w:cstheme="minorHAnsi"/>
        </w:rPr>
        <w:t xml:space="preserve">need to be </w:t>
      </w:r>
      <w:r w:rsidR="009F5557">
        <w:rPr>
          <w:rFonts w:cstheme="minorHAnsi"/>
        </w:rPr>
        <w:t>provided</w:t>
      </w:r>
      <w:r w:rsidR="002871F2">
        <w:rPr>
          <w:rFonts w:cstheme="minorHAnsi"/>
        </w:rPr>
        <w:t>.</w:t>
      </w:r>
    </w:p>
    <w:p w14:paraId="3179105C" w14:textId="77777777" w:rsidR="000F361E" w:rsidRDefault="000F361E">
      <w:pPr>
        <w:rPr>
          <w:rFonts w:cstheme="minorHAnsi"/>
        </w:rPr>
      </w:pPr>
    </w:p>
    <w:p w14:paraId="104F68F7" w14:textId="77777777" w:rsidR="000F361E" w:rsidRDefault="000F361E">
      <w:pPr>
        <w:rPr>
          <w:rFonts w:cstheme="minorHAnsi"/>
        </w:rPr>
      </w:pPr>
    </w:p>
    <w:p w14:paraId="6EA82B9E" w14:textId="48FD8D02" w:rsidR="000F361E" w:rsidRPr="000F361E" w:rsidRDefault="000F361E" w:rsidP="000F361E">
      <w:pPr>
        <w:rPr>
          <w:rFonts w:cstheme="minorHAnsi"/>
        </w:rPr>
      </w:pPr>
      <w:r w:rsidRPr="000F361E">
        <w:rPr>
          <w:rFonts w:cstheme="minorHAnsi"/>
          <w:b/>
          <w:bCs/>
        </w:rPr>
        <w:t>Sunningdale Parish Council</w:t>
      </w:r>
      <w:r>
        <w:rPr>
          <w:rFonts w:cstheme="minorHAnsi"/>
        </w:rPr>
        <w:br/>
      </w:r>
      <w:r w:rsidRPr="002871F2">
        <w:rPr>
          <w:rFonts w:cstheme="minorHAnsi"/>
          <w:b/>
          <w:bCs/>
        </w:rPr>
        <w:t xml:space="preserve">May </w:t>
      </w:r>
      <w:r>
        <w:rPr>
          <w:rFonts w:cstheme="minorHAnsi"/>
          <w:b/>
          <w:bCs/>
        </w:rPr>
        <w:t>2</w:t>
      </w:r>
      <w:r w:rsidR="00871EAC">
        <w:rPr>
          <w:rFonts w:cstheme="minorHAnsi"/>
          <w:b/>
          <w:bCs/>
        </w:rPr>
        <w:t>5</w:t>
      </w:r>
      <w:r w:rsidRPr="000F361E">
        <w:rPr>
          <w:rFonts w:cstheme="minorHAnsi"/>
          <w:b/>
          <w:bCs/>
          <w:vertAlign w:val="superscript"/>
        </w:rPr>
        <w:t>th</w:t>
      </w:r>
      <w:r w:rsidR="005C3E12">
        <w:rPr>
          <w:rFonts w:cstheme="minorHAnsi"/>
          <w:b/>
          <w:bCs/>
        </w:rPr>
        <w:t>, 2020</w:t>
      </w:r>
    </w:p>
    <w:p w14:paraId="0FC9FC51" w14:textId="17270581" w:rsidR="004473AD" w:rsidRDefault="00B42717">
      <w:pPr>
        <w:rPr>
          <w:rFonts w:cstheme="minorHAnsi"/>
        </w:rPr>
      </w:pPr>
      <w:r>
        <w:rPr>
          <w:rFonts w:cstheme="minorHAnsi"/>
        </w:rPr>
        <w:br/>
      </w:r>
    </w:p>
    <w:sectPr w:rsidR="004473A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022E" w14:textId="77777777" w:rsidR="00EA7870" w:rsidRDefault="00EA7870" w:rsidP="0016510B">
      <w:pPr>
        <w:spacing w:after="0" w:line="240" w:lineRule="auto"/>
      </w:pPr>
      <w:r>
        <w:separator/>
      </w:r>
    </w:p>
  </w:endnote>
  <w:endnote w:type="continuationSeparator" w:id="0">
    <w:p w14:paraId="1D090C73" w14:textId="77777777" w:rsidR="00EA7870" w:rsidRDefault="00EA7870" w:rsidP="0016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A3A9" w14:textId="77777777" w:rsidR="00B95350" w:rsidRDefault="00B9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770220"/>
      <w:docPartObj>
        <w:docPartGallery w:val="Page Numbers (Bottom of Page)"/>
        <w:docPartUnique/>
      </w:docPartObj>
    </w:sdtPr>
    <w:sdtEndPr/>
    <w:sdtContent>
      <w:sdt>
        <w:sdtPr>
          <w:id w:val="1728636285"/>
          <w:docPartObj>
            <w:docPartGallery w:val="Page Numbers (Top of Page)"/>
            <w:docPartUnique/>
          </w:docPartObj>
        </w:sdtPr>
        <w:sdtEndPr/>
        <w:sdtContent>
          <w:p w14:paraId="0D1CF092" w14:textId="537977A4" w:rsidR="0016510B" w:rsidRDefault="001651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75A5F2" w14:textId="77777777" w:rsidR="0016510B" w:rsidRDefault="00165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8F14" w14:textId="77777777" w:rsidR="00B95350" w:rsidRDefault="00B9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DE47A" w14:textId="77777777" w:rsidR="00EA7870" w:rsidRDefault="00EA7870" w:rsidP="0016510B">
      <w:pPr>
        <w:spacing w:after="0" w:line="240" w:lineRule="auto"/>
      </w:pPr>
      <w:r>
        <w:separator/>
      </w:r>
    </w:p>
  </w:footnote>
  <w:footnote w:type="continuationSeparator" w:id="0">
    <w:p w14:paraId="1F045EEA" w14:textId="77777777" w:rsidR="00EA7870" w:rsidRDefault="00EA7870" w:rsidP="00165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B28C" w14:textId="77777777" w:rsidR="00B95350" w:rsidRDefault="00B95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ADF2" w14:textId="7EA78CBE" w:rsidR="00B95350" w:rsidRDefault="00B95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CD5F" w14:textId="77777777" w:rsidR="00B95350" w:rsidRDefault="00B9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A476C8"/>
    <w:multiLevelType w:val="hybridMultilevel"/>
    <w:tmpl w:val="EDA50B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09F41D"/>
    <w:multiLevelType w:val="hybridMultilevel"/>
    <w:tmpl w:val="2B44C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5E1D8A"/>
    <w:multiLevelType w:val="hybridMultilevel"/>
    <w:tmpl w:val="85823A32"/>
    <w:lvl w:ilvl="0" w:tplc="AD38EE72">
      <w:start w:val="1"/>
      <w:numFmt w:val="decimal"/>
      <w:lvlText w:val="%1."/>
      <w:lvlJc w:val="left"/>
      <w:pPr>
        <w:ind w:left="360" w:hanging="360"/>
      </w:pPr>
      <w:rPr>
        <w:rFonts w:hint="default"/>
        <w:b/>
        <w:bCs/>
        <w:sz w:val="28"/>
        <w:szCs w:val="2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0B2714DD"/>
    <w:multiLevelType w:val="hybridMultilevel"/>
    <w:tmpl w:val="81DC3E6C"/>
    <w:lvl w:ilvl="0" w:tplc="379CA4D8">
      <w:start w:val="2"/>
      <w:numFmt w:val="lowerLetter"/>
      <w:lvlText w:val="%1."/>
      <w:lvlJc w:val="left"/>
      <w:pPr>
        <w:ind w:left="720" w:hanging="360"/>
      </w:pPr>
      <w:rPr>
        <w:rFont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A7F7D"/>
    <w:multiLevelType w:val="hybridMultilevel"/>
    <w:tmpl w:val="07D2588A"/>
    <w:lvl w:ilvl="0" w:tplc="AD38EE72">
      <w:start w:val="1"/>
      <w:numFmt w:val="decimal"/>
      <w:lvlText w:val="%1."/>
      <w:lvlJc w:val="left"/>
      <w:pPr>
        <w:ind w:left="360" w:hanging="360"/>
      </w:pPr>
      <w:rPr>
        <w:sz w:val="28"/>
        <w:szCs w:val="28"/>
      </w:rPr>
    </w:lvl>
    <w:lvl w:ilvl="1" w:tplc="D08AF54E">
      <w:start w:val="1"/>
      <w:numFmt w:val="lowerLetter"/>
      <w:lvlText w:val="%2."/>
      <w:lvlJc w:val="left"/>
      <w:pPr>
        <w:ind w:left="1080" w:hanging="360"/>
      </w:pPr>
      <w:rPr>
        <w:b/>
        <w:bCs/>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CF5732"/>
    <w:multiLevelType w:val="hybridMultilevel"/>
    <w:tmpl w:val="E93A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57C5C"/>
    <w:multiLevelType w:val="hybridMultilevel"/>
    <w:tmpl w:val="3E1C1D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25A22"/>
    <w:multiLevelType w:val="hybridMultilevel"/>
    <w:tmpl w:val="16ECCB04"/>
    <w:lvl w:ilvl="0" w:tplc="D08AF54E">
      <w:start w:val="1"/>
      <w:numFmt w:val="lowerLetter"/>
      <w:lvlText w:val="%1."/>
      <w:lvlJc w:val="left"/>
      <w:pPr>
        <w:ind w:left="1080"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D4AD0"/>
    <w:multiLevelType w:val="hybridMultilevel"/>
    <w:tmpl w:val="8E90CB6C"/>
    <w:lvl w:ilvl="0" w:tplc="6AA25AE6">
      <w:start w:val="1"/>
      <w:numFmt w:val="bullet"/>
      <w:lvlText w:val="■"/>
      <w:lvlJc w:val="left"/>
      <w:pPr>
        <w:tabs>
          <w:tab w:val="num" w:pos="720"/>
        </w:tabs>
        <w:ind w:left="720" w:hanging="360"/>
      </w:pPr>
      <w:rPr>
        <w:rFonts w:ascii="Franklin Gothic Book" w:hAnsi="Franklin Gothic Book" w:hint="default"/>
      </w:rPr>
    </w:lvl>
    <w:lvl w:ilvl="1" w:tplc="C28279FA" w:tentative="1">
      <w:start w:val="1"/>
      <w:numFmt w:val="bullet"/>
      <w:lvlText w:val="■"/>
      <w:lvlJc w:val="left"/>
      <w:pPr>
        <w:tabs>
          <w:tab w:val="num" w:pos="1440"/>
        </w:tabs>
        <w:ind w:left="1440" w:hanging="360"/>
      </w:pPr>
      <w:rPr>
        <w:rFonts w:ascii="Franklin Gothic Book" w:hAnsi="Franklin Gothic Book" w:hint="default"/>
      </w:rPr>
    </w:lvl>
    <w:lvl w:ilvl="2" w:tplc="E132CED2" w:tentative="1">
      <w:start w:val="1"/>
      <w:numFmt w:val="bullet"/>
      <w:lvlText w:val="■"/>
      <w:lvlJc w:val="left"/>
      <w:pPr>
        <w:tabs>
          <w:tab w:val="num" w:pos="2160"/>
        </w:tabs>
        <w:ind w:left="2160" w:hanging="360"/>
      </w:pPr>
      <w:rPr>
        <w:rFonts w:ascii="Franklin Gothic Book" w:hAnsi="Franklin Gothic Book" w:hint="default"/>
      </w:rPr>
    </w:lvl>
    <w:lvl w:ilvl="3" w:tplc="F17CDD9C" w:tentative="1">
      <w:start w:val="1"/>
      <w:numFmt w:val="bullet"/>
      <w:lvlText w:val="■"/>
      <w:lvlJc w:val="left"/>
      <w:pPr>
        <w:tabs>
          <w:tab w:val="num" w:pos="2880"/>
        </w:tabs>
        <w:ind w:left="2880" w:hanging="360"/>
      </w:pPr>
      <w:rPr>
        <w:rFonts w:ascii="Franklin Gothic Book" w:hAnsi="Franklin Gothic Book" w:hint="default"/>
      </w:rPr>
    </w:lvl>
    <w:lvl w:ilvl="4" w:tplc="446C3010" w:tentative="1">
      <w:start w:val="1"/>
      <w:numFmt w:val="bullet"/>
      <w:lvlText w:val="■"/>
      <w:lvlJc w:val="left"/>
      <w:pPr>
        <w:tabs>
          <w:tab w:val="num" w:pos="3600"/>
        </w:tabs>
        <w:ind w:left="3600" w:hanging="360"/>
      </w:pPr>
      <w:rPr>
        <w:rFonts w:ascii="Franklin Gothic Book" w:hAnsi="Franklin Gothic Book" w:hint="default"/>
      </w:rPr>
    </w:lvl>
    <w:lvl w:ilvl="5" w:tplc="609E263C" w:tentative="1">
      <w:start w:val="1"/>
      <w:numFmt w:val="bullet"/>
      <w:lvlText w:val="■"/>
      <w:lvlJc w:val="left"/>
      <w:pPr>
        <w:tabs>
          <w:tab w:val="num" w:pos="4320"/>
        </w:tabs>
        <w:ind w:left="4320" w:hanging="360"/>
      </w:pPr>
      <w:rPr>
        <w:rFonts w:ascii="Franklin Gothic Book" w:hAnsi="Franklin Gothic Book" w:hint="default"/>
      </w:rPr>
    </w:lvl>
    <w:lvl w:ilvl="6" w:tplc="170A2490" w:tentative="1">
      <w:start w:val="1"/>
      <w:numFmt w:val="bullet"/>
      <w:lvlText w:val="■"/>
      <w:lvlJc w:val="left"/>
      <w:pPr>
        <w:tabs>
          <w:tab w:val="num" w:pos="5040"/>
        </w:tabs>
        <w:ind w:left="5040" w:hanging="360"/>
      </w:pPr>
      <w:rPr>
        <w:rFonts w:ascii="Franklin Gothic Book" w:hAnsi="Franklin Gothic Book" w:hint="default"/>
      </w:rPr>
    </w:lvl>
    <w:lvl w:ilvl="7" w:tplc="04A8E4AA" w:tentative="1">
      <w:start w:val="1"/>
      <w:numFmt w:val="bullet"/>
      <w:lvlText w:val="■"/>
      <w:lvlJc w:val="left"/>
      <w:pPr>
        <w:tabs>
          <w:tab w:val="num" w:pos="5760"/>
        </w:tabs>
        <w:ind w:left="5760" w:hanging="360"/>
      </w:pPr>
      <w:rPr>
        <w:rFonts w:ascii="Franklin Gothic Book" w:hAnsi="Franklin Gothic Book" w:hint="default"/>
      </w:rPr>
    </w:lvl>
    <w:lvl w:ilvl="8" w:tplc="DEDE6528"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2D60798D"/>
    <w:multiLevelType w:val="hybridMultilevel"/>
    <w:tmpl w:val="C98EC1D4"/>
    <w:lvl w:ilvl="0" w:tplc="D08AF54E">
      <w:start w:val="1"/>
      <w:numFmt w:val="lowerLetter"/>
      <w:lvlText w:val="%1."/>
      <w:lvlJc w:val="left"/>
      <w:pPr>
        <w:ind w:left="1080"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77780"/>
    <w:multiLevelType w:val="hybridMultilevel"/>
    <w:tmpl w:val="99B41008"/>
    <w:lvl w:ilvl="0" w:tplc="4B06BB56">
      <w:start w:val="5"/>
      <w:numFmt w:val="decimal"/>
      <w:lvlText w:val="%1."/>
      <w:lvlJc w:val="left"/>
      <w:pPr>
        <w:ind w:left="360" w:hanging="360"/>
      </w:pPr>
      <w:rPr>
        <w:rFonts w:hint="default"/>
        <w:b/>
        <w:bCs/>
        <w:sz w:val="28"/>
        <w:szCs w:val="2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393D0A05"/>
    <w:multiLevelType w:val="hybridMultilevel"/>
    <w:tmpl w:val="C5EA2386"/>
    <w:lvl w:ilvl="0" w:tplc="2FD2E2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96D52"/>
    <w:multiLevelType w:val="hybridMultilevel"/>
    <w:tmpl w:val="129413F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33042B"/>
    <w:multiLevelType w:val="hybridMultilevel"/>
    <w:tmpl w:val="21147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A6F5D"/>
    <w:multiLevelType w:val="hybridMultilevel"/>
    <w:tmpl w:val="155017C8"/>
    <w:lvl w:ilvl="0" w:tplc="2FD2E2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83829"/>
    <w:multiLevelType w:val="hybridMultilevel"/>
    <w:tmpl w:val="A82E5B38"/>
    <w:lvl w:ilvl="0" w:tplc="379CA4D8">
      <w:start w:val="2"/>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247B3B"/>
    <w:multiLevelType w:val="hybridMultilevel"/>
    <w:tmpl w:val="29144DD6"/>
    <w:lvl w:ilvl="0" w:tplc="379CA4D8">
      <w:start w:val="2"/>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45681"/>
    <w:multiLevelType w:val="hybridMultilevel"/>
    <w:tmpl w:val="A9580B1E"/>
    <w:lvl w:ilvl="0" w:tplc="D08AF54E">
      <w:start w:val="1"/>
      <w:numFmt w:val="lowerLetter"/>
      <w:lvlText w:val="%1."/>
      <w:lvlJc w:val="left"/>
      <w:pPr>
        <w:ind w:left="1080"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BA29C5"/>
    <w:multiLevelType w:val="hybridMultilevel"/>
    <w:tmpl w:val="8EF0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B4B7C"/>
    <w:multiLevelType w:val="hybridMultilevel"/>
    <w:tmpl w:val="D246814E"/>
    <w:lvl w:ilvl="0" w:tplc="3252D72E">
      <w:start w:val="4"/>
      <w:numFmt w:val="decimal"/>
      <w:lvlText w:val="%1."/>
      <w:lvlJc w:val="left"/>
      <w:pPr>
        <w:ind w:left="36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696C7C"/>
    <w:multiLevelType w:val="hybridMultilevel"/>
    <w:tmpl w:val="856E4018"/>
    <w:lvl w:ilvl="0" w:tplc="33F6AC04">
      <w:start w:val="1"/>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3F6B24"/>
    <w:multiLevelType w:val="hybridMultilevel"/>
    <w:tmpl w:val="B59237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481DC6"/>
    <w:multiLevelType w:val="hybridMultilevel"/>
    <w:tmpl w:val="FE79FB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0B80E48"/>
    <w:multiLevelType w:val="hybridMultilevel"/>
    <w:tmpl w:val="7D8A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15EB9"/>
    <w:multiLevelType w:val="hybridMultilevel"/>
    <w:tmpl w:val="4C04BEB2"/>
    <w:lvl w:ilvl="0" w:tplc="D08AF54E">
      <w:start w:val="1"/>
      <w:numFmt w:val="lowerLetter"/>
      <w:lvlText w:val="%1."/>
      <w:lvlJc w:val="left"/>
      <w:pPr>
        <w:ind w:left="1080"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3"/>
  </w:num>
  <w:num w:numId="3">
    <w:abstractNumId w:val="1"/>
  </w:num>
  <w:num w:numId="4">
    <w:abstractNumId w:val="19"/>
  </w:num>
  <w:num w:numId="5">
    <w:abstractNumId w:val="7"/>
  </w:num>
  <w:num w:numId="6">
    <w:abstractNumId w:val="0"/>
  </w:num>
  <w:num w:numId="7">
    <w:abstractNumId w:val="22"/>
  </w:num>
  <w:num w:numId="8">
    <w:abstractNumId w:val="9"/>
  </w:num>
  <w:num w:numId="9">
    <w:abstractNumId w:val="5"/>
  </w:num>
  <w:num w:numId="10">
    <w:abstractNumId w:val="13"/>
  </w:num>
  <w:num w:numId="11">
    <w:abstractNumId w:val="12"/>
  </w:num>
  <w:num w:numId="12">
    <w:abstractNumId w:val="15"/>
  </w:num>
  <w:num w:numId="13">
    <w:abstractNumId w:val="25"/>
  </w:num>
  <w:num w:numId="14">
    <w:abstractNumId w:val="18"/>
  </w:num>
  <w:num w:numId="15">
    <w:abstractNumId w:val="8"/>
  </w:num>
  <w:num w:numId="16">
    <w:abstractNumId w:val="10"/>
  </w:num>
  <w:num w:numId="17">
    <w:abstractNumId w:val="16"/>
  </w:num>
  <w:num w:numId="18">
    <w:abstractNumId w:val="6"/>
  </w:num>
  <w:num w:numId="19">
    <w:abstractNumId w:val="4"/>
  </w:num>
  <w:num w:numId="20">
    <w:abstractNumId w:val="21"/>
  </w:num>
  <w:num w:numId="21">
    <w:abstractNumId w:val="3"/>
  </w:num>
  <w:num w:numId="22">
    <w:abstractNumId w:val="20"/>
  </w:num>
  <w:num w:numId="23">
    <w:abstractNumId w:val="2"/>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4">
    <w:abstractNumId w:val="17"/>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DB"/>
    <w:rsid w:val="00000933"/>
    <w:rsid w:val="00004ADD"/>
    <w:rsid w:val="00005701"/>
    <w:rsid w:val="00021A8A"/>
    <w:rsid w:val="00027D7B"/>
    <w:rsid w:val="0003590D"/>
    <w:rsid w:val="00060622"/>
    <w:rsid w:val="00065E91"/>
    <w:rsid w:val="00066EF5"/>
    <w:rsid w:val="00070441"/>
    <w:rsid w:val="00071302"/>
    <w:rsid w:val="00084B64"/>
    <w:rsid w:val="00093287"/>
    <w:rsid w:val="00096427"/>
    <w:rsid w:val="000A6421"/>
    <w:rsid w:val="000A642E"/>
    <w:rsid w:val="000A71C1"/>
    <w:rsid w:val="000B0B14"/>
    <w:rsid w:val="000C001E"/>
    <w:rsid w:val="000C3D8E"/>
    <w:rsid w:val="000D0422"/>
    <w:rsid w:val="000E0440"/>
    <w:rsid w:val="000E3ED0"/>
    <w:rsid w:val="000E44A3"/>
    <w:rsid w:val="000E5F79"/>
    <w:rsid w:val="000E7916"/>
    <w:rsid w:val="000E79F4"/>
    <w:rsid w:val="000F218C"/>
    <w:rsid w:val="000F361E"/>
    <w:rsid w:val="000F517A"/>
    <w:rsid w:val="001038CB"/>
    <w:rsid w:val="00111946"/>
    <w:rsid w:val="0011322C"/>
    <w:rsid w:val="001133EA"/>
    <w:rsid w:val="00120A23"/>
    <w:rsid w:val="0013014C"/>
    <w:rsid w:val="00132AA0"/>
    <w:rsid w:val="001364E9"/>
    <w:rsid w:val="00142212"/>
    <w:rsid w:val="00144653"/>
    <w:rsid w:val="00150AA1"/>
    <w:rsid w:val="0016510B"/>
    <w:rsid w:val="0018413E"/>
    <w:rsid w:val="001857A9"/>
    <w:rsid w:val="0019078F"/>
    <w:rsid w:val="00195204"/>
    <w:rsid w:val="001A10B3"/>
    <w:rsid w:val="001A1F9E"/>
    <w:rsid w:val="001A4969"/>
    <w:rsid w:val="001A57B3"/>
    <w:rsid w:val="001C0510"/>
    <w:rsid w:val="001C2720"/>
    <w:rsid w:val="001C2F80"/>
    <w:rsid w:val="001C3817"/>
    <w:rsid w:val="001C524D"/>
    <w:rsid w:val="001C58C9"/>
    <w:rsid w:val="001C598E"/>
    <w:rsid w:val="001D4156"/>
    <w:rsid w:val="001D4A8E"/>
    <w:rsid w:val="001E112C"/>
    <w:rsid w:val="001E6764"/>
    <w:rsid w:val="001F5014"/>
    <w:rsid w:val="002055D6"/>
    <w:rsid w:val="00205A3F"/>
    <w:rsid w:val="00206018"/>
    <w:rsid w:val="00206A59"/>
    <w:rsid w:val="00220112"/>
    <w:rsid w:val="00227120"/>
    <w:rsid w:val="002370CA"/>
    <w:rsid w:val="00256D82"/>
    <w:rsid w:val="00256E3F"/>
    <w:rsid w:val="00260071"/>
    <w:rsid w:val="002719A2"/>
    <w:rsid w:val="00277F51"/>
    <w:rsid w:val="0028423E"/>
    <w:rsid w:val="002856B4"/>
    <w:rsid w:val="002871F2"/>
    <w:rsid w:val="002877F5"/>
    <w:rsid w:val="002911DF"/>
    <w:rsid w:val="00293146"/>
    <w:rsid w:val="002B3680"/>
    <w:rsid w:val="002B61B9"/>
    <w:rsid w:val="002C32AA"/>
    <w:rsid w:val="002D08CD"/>
    <w:rsid w:val="002D2E9F"/>
    <w:rsid w:val="002D58D9"/>
    <w:rsid w:val="002D7279"/>
    <w:rsid w:val="002E2622"/>
    <w:rsid w:val="002E3440"/>
    <w:rsid w:val="002F2143"/>
    <w:rsid w:val="002F5565"/>
    <w:rsid w:val="002F557A"/>
    <w:rsid w:val="002F56C0"/>
    <w:rsid w:val="002F5BDB"/>
    <w:rsid w:val="00311074"/>
    <w:rsid w:val="00311D8E"/>
    <w:rsid w:val="00312256"/>
    <w:rsid w:val="0031690A"/>
    <w:rsid w:val="00323136"/>
    <w:rsid w:val="00325664"/>
    <w:rsid w:val="00326E6E"/>
    <w:rsid w:val="003345F8"/>
    <w:rsid w:val="0033492F"/>
    <w:rsid w:val="00335F39"/>
    <w:rsid w:val="003365B3"/>
    <w:rsid w:val="0034107E"/>
    <w:rsid w:val="00345648"/>
    <w:rsid w:val="00346A27"/>
    <w:rsid w:val="0035188C"/>
    <w:rsid w:val="00357BC9"/>
    <w:rsid w:val="00362E84"/>
    <w:rsid w:val="0036442C"/>
    <w:rsid w:val="00365128"/>
    <w:rsid w:val="003677A2"/>
    <w:rsid w:val="003707CF"/>
    <w:rsid w:val="003736F7"/>
    <w:rsid w:val="0037565D"/>
    <w:rsid w:val="00384210"/>
    <w:rsid w:val="00384DC4"/>
    <w:rsid w:val="00397399"/>
    <w:rsid w:val="003B4A06"/>
    <w:rsid w:val="003B5DF7"/>
    <w:rsid w:val="003D3158"/>
    <w:rsid w:val="003D6029"/>
    <w:rsid w:val="003E14AD"/>
    <w:rsid w:val="0040105B"/>
    <w:rsid w:val="00401C85"/>
    <w:rsid w:val="004041D1"/>
    <w:rsid w:val="00407F8B"/>
    <w:rsid w:val="004146E0"/>
    <w:rsid w:val="00415F7A"/>
    <w:rsid w:val="0041696F"/>
    <w:rsid w:val="00433B1A"/>
    <w:rsid w:val="00433CCB"/>
    <w:rsid w:val="00445833"/>
    <w:rsid w:val="004473AD"/>
    <w:rsid w:val="00447F34"/>
    <w:rsid w:val="004508E4"/>
    <w:rsid w:val="00456AC6"/>
    <w:rsid w:val="004571BE"/>
    <w:rsid w:val="00472C2A"/>
    <w:rsid w:val="00480542"/>
    <w:rsid w:val="00481F4A"/>
    <w:rsid w:val="00483CF1"/>
    <w:rsid w:val="0048454D"/>
    <w:rsid w:val="004919B5"/>
    <w:rsid w:val="00491B5D"/>
    <w:rsid w:val="0049648A"/>
    <w:rsid w:val="004A3FB2"/>
    <w:rsid w:val="004A5BF9"/>
    <w:rsid w:val="004B1D85"/>
    <w:rsid w:val="004C01BE"/>
    <w:rsid w:val="004C1F76"/>
    <w:rsid w:val="004C7355"/>
    <w:rsid w:val="004D1D50"/>
    <w:rsid w:val="004D43DC"/>
    <w:rsid w:val="004E1B3B"/>
    <w:rsid w:val="004E5349"/>
    <w:rsid w:val="0051369C"/>
    <w:rsid w:val="00513A8F"/>
    <w:rsid w:val="00520028"/>
    <w:rsid w:val="0052116E"/>
    <w:rsid w:val="00521306"/>
    <w:rsid w:val="0052660A"/>
    <w:rsid w:val="005313C2"/>
    <w:rsid w:val="00536FAD"/>
    <w:rsid w:val="00541685"/>
    <w:rsid w:val="00542DE5"/>
    <w:rsid w:val="00547CF9"/>
    <w:rsid w:val="005506FB"/>
    <w:rsid w:val="00554859"/>
    <w:rsid w:val="00554E07"/>
    <w:rsid w:val="0057418D"/>
    <w:rsid w:val="005745A3"/>
    <w:rsid w:val="00575470"/>
    <w:rsid w:val="0057781A"/>
    <w:rsid w:val="0058553A"/>
    <w:rsid w:val="00585C24"/>
    <w:rsid w:val="0059082D"/>
    <w:rsid w:val="0059112C"/>
    <w:rsid w:val="0059446E"/>
    <w:rsid w:val="005A27CA"/>
    <w:rsid w:val="005B0692"/>
    <w:rsid w:val="005B5D1C"/>
    <w:rsid w:val="005C3E12"/>
    <w:rsid w:val="005C4887"/>
    <w:rsid w:val="005C6F1C"/>
    <w:rsid w:val="005E4513"/>
    <w:rsid w:val="005E4CB1"/>
    <w:rsid w:val="005E5C29"/>
    <w:rsid w:val="005F26B2"/>
    <w:rsid w:val="005F3D8D"/>
    <w:rsid w:val="0060016C"/>
    <w:rsid w:val="00603244"/>
    <w:rsid w:val="0060658F"/>
    <w:rsid w:val="006133FC"/>
    <w:rsid w:val="006207C0"/>
    <w:rsid w:val="00621CEE"/>
    <w:rsid w:val="00626810"/>
    <w:rsid w:val="00626FBC"/>
    <w:rsid w:val="006272EC"/>
    <w:rsid w:val="00627D9E"/>
    <w:rsid w:val="00631F3B"/>
    <w:rsid w:val="006420BC"/>
    <w:rsid w:val="00645300"/>
    <w:rsid w:val="00666518"/>
    <w:rsid w:val="00681928"/>
    <w:rsid w:val="00686DE8"/>
    <w:rsid w:val="006908C4"/>
    <w:rsid w:val="0069184B"/>
    <w:rsid w:val="00692214"/>
    <w:rsid w:val="006A77B6"/>
    <w:rsid w:val="006B1074"/>
    <w:rsid w:val="006B3642"/>
    <w:rsid w:val="006C5692"/>
    <w:rsid w:val="006D5E29"/>
    <w:rsid w:val="006E363B"/>
    <w:rsid w:val="006E6BAC"/>
    <w:rsid w:val="006F2D1F"/>
    <w:rsid w:val="006F792F"/>
    <w:rsid w:val="007035EF"/>
    <w:rsid w:val="00710605"/>
    <w:rsid w:val="007120C5"/>
    <w:rsid w:val="007177BE"/>
    <w:rsid w:val="0072199D"/>
    <w:rsid w:val="00731D5A"/>
    <w:rsid w:val="00732486"/>
    <w:rsid w:val="007339A1"/>
    <w:rsid w:val="00735E0E"/>
    <w:rsid w:val="00741469"/>
    <w:rsid w:val="0074383D"/>
    <w:rsid w:val="007440BC"/>
    <w:rsid w:val="007463F6"/>
    <w:rsid w:val="00751106"/>
    <w:rsid w:val="00752F7A"/>
    <w:rsid w:val="00755F01"/>
    <w:rsid w:val="0076241A"/>
    <w:rsid w:val="0076643E"/>
    <w:rsid w:val="00767D76"/>
    <w:rsid w:val="007700EE"/>
    <w:rsid w:val="00776C1B"/>
    <w:rsid w:val="00777336"/>
    <w:rsid w:val="007820C2"/>
    <w:rsid w:val="007850E5"/>
    <w:rsid w:val="00787EA6"/>
    <w:rsid w:val="007A261D"/>
    <w:rsid w:val="007A3CD6"/>
    <w:rsid w:val="007B1BBA"/>
    <w:rsid w:val="007B77FA"/>
    <w:rsid w:val="007D451B"/>
    <w:rsid w:val="007E3EB4"/>
    <w:rsid w:val="007F0BBB"/>
    <w:rsid w:val="00817F41"/>
    <w:rsid w:val="008232DC"/>
    <w:rsid w:val="008273FB"/>
    <w:rsid w:val="008278C2"/>
    <w:rsid w:val="0083034A"/>
    <w:rsid w:val="00837D32"/>
    <w:rsid w:val="0085062C"/>
    <w:rsid w:val="00851169"/>
    <w:rsid w:val="00851812"/>
    <w:rsid w:val="00852C61"/>
    <w:rsid w:val="00856E1D"/>
    <w:rsid w:val="008614CC"/>
    <w:rsid w:val="00871EAC"/>
    <w:rsid w:val="008801E0"/>
    <w:rsid w:val="0088189F"/>
    <w:rsid w:val="0088489A"/>
    <w:rsid w:val="00887AE7"/>
    <w:rsid w:val="00892C0C"/>
    <w:rsid w:val="0089706B"/>
    <w:rsid w:val="008A0089"/>
    <w:rsid w:val="008A2519"/>
    <w:rsid w:val="008A46FB"/>
    <w:rsid w:val="008B0C21"/>
    <w:rsid w:val="008B7DF2"/>
    <w:rsid w:val="008C5573"/>
    <w:rsid w:val="008C7DC1"/>
    <w:rsid w:val="008D3F14"/>
    <w:rsid w:val="008D69E7"/>
    <w:rsid w:val="008E1454"/>
    <w:rsid w:val="008E4F0A"/>
    <w:rsid w:val="008F4211"/>
    <w:rsid w:val="009046A7"/>
    <w:rsid w:val="00904C4C"/>
    <w:rsid w:val="0090652F"/>
    <w:rsid w:val="009156A6"/>
    <w:rsid w:val="00916372"/>
    <w:rsid w:val="0091766D"/>
    <w:rsid w:val="009209E0"/>
    <w:rsid w:val="0092231F"/>
    <w:rsid w:val="00930E14"/>
    <w:rsid w:val="009313C4"/>
    <w:rsid w:val="00941E9B"/>
    <w:rsid w:val="009420E7"/>
    <w:rsid w:val="00944001"/>
    <w:rsid w:val="00947DB1"/>
    <w:rsid w:val="00961056"/>
    <w:rsid w:val="0097540D"/>
    <w:rsid w:val="00980DA0"/>
    <w:rsid w:val="00984608"/>
    <w:rsid w:val="009A6A1A"/>
    <w:rsid w:val="009B397D"/>
    <w:rsid w:val="009C0D42"/>
    <w:rsid w:val="009C4F33"/>
    <w:rsid w:val="009C7302"/>
    <w:rsid w:val="009D2EB9"/>
    <w:rsid w:val="009D38B3"/>
    <w:rsid w:val="009E0DD4"/>
    <w:rsid w:val="009E5C67"/>
    <w:rsid w:val="009E6E86"/>
    <w:rsid w:val="009F4F3E"/>
    <w:rsid w:val="009F5557"/>
    <w:rsid w:val="00A06602"/>
    <w:rsid w:val="00A06C4F"/>
    <w:rsid w:val="00A1414E"/>
    <w:rsid w:val="00A26930"/>
    <w:rsid w:val="00A27B22"/>
    <w:rsid w:val="00A33D03"/>
    <w:rsid w:val="00A52BFC"/>
    <w:rsid w:val="00A55BD2"/>
    <w:rsid w:val="00A5793A"/>
    <w:rsid w:val="00A60514"/>
    <w:rsid w:val="00A72805"/>
    <w:rsid w:val="00A72B56"/>
    <w:rsid w:val="00A7399B"/>
    <w:rsid w:val="00A756C0"/>
    <w:rsid w:val="00A83C1F"/>
    <w:rsid w:val="00A934B5"/>
    <w:rsid w:val="00A978A8"/>
    <w:rsid w:val="00AA4A08"/>
    <w:rsid w:val="00AA7813"/>
    <w:rsid w:val="00AB2E53"/>
    <w:rsid w:val="00AB4F7A"/>
    <w:rsid w:val="00AD1D86"/>
    <w:rsid w:val="00AE4CDA"/>
    <w:rsid w:val="00B04A4D"/>
    <w:rsid w:val="00B07D8B"/>
    <w:rsid w:val="00B1251C"/>
    <w:rsid w:val="00B12DD0"/>
    <w:rsid w:val="00B13049"/>
    <w:rsid w:val="00B15CE2"/>
    <w:rsid w:val="00B17792"/>
    <w:rsid w:val="00B36FBF"/>
    <w:rsid w:val="00B42717"/>
    <w:rsid w:val="00B75B6D"/>
    <w:rsid w:val="00B75DCE"/>
    <w:rsid w:val="00B765CE"/>
    <w:rsid w:val="00B83783"/>
    <w:rsid w:val="00B83EDF"/>
    <w:rsid w:val="00B8713D"/>
    <w:rsid w:val="00B878D6"/>
    <w:rsid w:val="00B87A54"/>
    <w:rsid w:val="00B936DF"/>
    <w:rsid w:val="00B95350"/>
    <w:rsid w:val="00BA2962"/>
    <w:rsid w:val="00BA2C34"/>
    <w:rsid w:val="00BB2B7D"/>
    <w:rsid w:val="00BB33D2"/>
    <w:rsid w:val="00BB417F"/>
    <w:rsid w:val="00BD2971"/>
    <w:rsid w:val="00BD34BD"/>
    <w:rsid w:val="00BF32F9"/>
    <w:rsid w:val="00BF3822"/>
    <w:rsid w:val="00C03108"/>
    <w:rsid w:val="00C113D6"/>
    <w:rsid w:val="00C2514E"/>
    <w:rsid w:val="00C305B3"/>
    <w:rsid w:val="00C50E73"/>
    <w:rsid w:val="00C55D5F"/>
    <w:rsid w:val="00C564C4"/>
    <w:rsid w:val="00C608E6"/>
    <w:rsid w:val="00C618FD"/>
    <w:rsid w:val="00C63B48"/>
    <w:rsid w:val="00C822BF"/>
    <w:rsid w:val="00C8378E"/>
    <w:rsid w:val="00C83971"/>
    <w:rsid w:val="00C83CCC"/>
    <w:rsid w:val="00C84FB7"/>
    <w:rsid w:val="00CA69FA"/>
    <w:rsid w:val="00CA7926"/>
    <w:rsid w:val="00CB1F8D"/>
    <w:rsid w:val="00CB5B2C"/>
    <w:rsid w:val="00CC43CD"/>
    <w:rsid w:val="00CC4B87"/>
    <w:rsid w:val="00CC55BF"/>
    <w:rsid w:val="00CC63BE"/>
    <w:rsid w:val="00CD66B4"/>
    <w:rsid w:val="00CE17FF"/>
    <w:rsid w:val="00CE7533"/>
    <w:rsid w:val="00CF0F04"/>
    <w:rsid w:val="00CF191F"/>
    <w:rsid w:val="00CF4E89"/>
    <w:rsid w:val="00CF5BEA"/>
    <w:rsid w:val="00D03522"/>
    <w:rsid w:val="00D053E3"/>
    <w:rsid w:val="00D05C84"/>
    <w:rsid w:val="00D07E7E"/>
    <w:rsid w:val="00D145CA"/>
    <w:rsid w:val="00D249B4"/>
    <w:rsid w:val="00D2510A"/>
    <w:rsid w:val="00D318DB"/>
    <w:rsid w:val="00D32146"/>
    <w:rsid w:val="00D346D7"/>
    <w:rsid w:val="00D37053"/>
    <w:rsid w:val="00D41585"/>
    <w:rsid w:val="00D43849"/>
    <w:rsid w:val="00D44F42"/>
    <w:rsid w:val="00D5032D"/>
    <w:rsid w:val="00D53BB9"/>
    <w:rsid w:val="00D60192"/>
    <w:rsid w:val="00D6351B"/>
    <w:rsid w:val="00D65501"/>
    <w:rsid w:val="00D73CF2"/>
    <w:rsid w:val="00D7662C"/>
    <w:rsid w:val="00D86F40"/>
    <w:rsid w:val="00D90AAC"/>
    <w:rsid w:val="00D96DBD"/>
    <w:rsid w:val="00DA0402"/>
    <w:rsid w:val="00DA335B"/>
    <w:rsid w:val="00DA4B34"/>
    <w:rsid w:val="00DB6AAC"/>
    <w:rsid w:val="00DC4C2B"/>
    <w:rsid w:val="00DE4FC9"/>
    <w:rsid w:val="00E050A5"/>
    <w:rsid w:val="00E07959"/>
    <w:rsid w:val="00E138BE"/>
    <w:rsid w:val="00E17115"/>
    <w:rsid w:val="00E32286"/>
    <w:rsid w:val="00E354A5"/>
    <w:rsid w:val="00E3599C"/>
    <w:rsid w:val="00E473C4"/>
    <w:rsid w:val="00E53514"/>
    <w:rsid w:val="00E67789"/>
    <w:rsid w:val="00E71113"/>
    <w:rsid w:val="00E7565A"/>
    <w:rsid w:val="00E80AD9"/>
    <w:rsid w:val="00E83595"/>
    <w:rsid w:val="00E83B0F"/>
    <w:rsid w:val="00E92DF9"/>
    <w:rsid w:val="00E95F49"/>
    <w:rsid w:val="00EA0C03"/>
    <w:rsid w:val="00EA129F"/>
    <w:rsid w:val="00EA4AF4"/>
    <w:rsid w:val="00EA7870"/>
    <w:rsid w:val="00EB24CC"/>
    <w:rsid w:val="00EB4195"/>
    <w:rsid w:val="00EC03F5"/>
    <w:rsid w:val="00EC17CD"/>
    <w:rsid w:val="00EC239C"/>
    <w:rsid w:val="00EC69AE"/>
    <w:rsid w:val="00ED5C67"/>
    <w:rsid w:val="00EE0D75"/>
    <w:rsid w:val="00EE0EE5"/>
    <w:rsid w:val="00EE31A1"/>
    <w:rsid w:val="00EF1C3F"/>
    <w:rsid w:val="00F11ECC"/>
    <w:rsid w:val="00F160EE"/>
    <w:rsid w:val="00F2308A"/>
    <w:rsid w:val="00F35D47"/>
    <w:rsid w:val="00F40F0F"/>
    <w:rsid w:val="00F4657D"/>
    <w:rsid w:val="00F47CF8"/>
    <w:rsid w:val="00F50F34"/>
    <w:rsid w:val="00F62D18"/>
    <w:rsid w:val="00F724E5"/>
    <w:rsid w:val="00F728E2"/>
    <w:rsid w:val="00F74492"/>
    <w:rsid w:val="00F806F0"/>
    <w:rsid w:val="00F95808"/>
    <w:rsid w:val="00F9742B"/>
    <w:rsid w:val="00FA0BDE"/>
    <w:rsid w:val="00FA7EC1"/>
    <w:rsid w:val="00FB1345"/>
    <w:rsid w:val="00FB3158"/>
    <w:rsid w:val="00FB3539"/>
    <w:rsid w:val="00FB7339"/>
    <w:rsid w:val="00FC3FBA"/>
    <w:rsid w:val="00FC7071"/>
    <w:rsid w:val="00FD5BEC"/>
    <w:rsid w:val="00FE6686"/>
    <w:rsid w:val="00FF0010"/>
    <w:rsid w:val="00F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2DD3D"/>
  <w15:chartTrackingRefBased/>
  <w15:docId w15:val="{824FC88D-AAED-46FE-8BA0-DFC13373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74"/>
    <w:pPr>
      <w:ind w:left="720"/>
      <w:contextualSpacing/>
    </w:pPr>
  </w:style>
  <w:style w:type="paragraph" w:customStyle="1" w:styleId="Default">
    <w:name w:val="Default"/>
    <w:rsid w:val="009E5C67"/>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semiHidden/>
    <w:unhideWhenUsed/>
    <w:rsid w:val="00FD5BE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1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6C0"/>
    <w:rPr>
      <w:rFonts w:ascii="Segoe UI" w:hAnsi="Segoe UI" w:cs="Segoe UI"/>
      <w:sz w:val="18"/>
      <w:szCs w:val="18"/>
    </w:rPr>
  </w:style>
  <w:style w:type="character" w:customStyle="1" w:styleId="casenumber">
    <w:name w:val="casenumber"/>
    <w:basedOn w:val="DefaultParagraphFont"/>
    <w:rsid w:val="002871F2"/>
  </w:style>
  <w:style w:type="character" w:customStyle="1" w:styleId="divider1">
    <w:name w:val="divider1"/>
    <w:basedOn w:val="DefaultParagraphFont"/>
    <w:rsid w:val="002871F2"/>
  </w:style>
  <w:style w:type="character" w:customStyle="1" w:styleId="description">
    <w:name w:val="description"/>
    <w:basedOn w:val="DefaultParagraphFont"/>
    <w:rsid w:val="002871F2"/>
  </w:style>
  <w:style w:type="character" w:customStyle="1" w:styleId="divider2">
    <w:name w:val="divider2"/>
    <w:basedOn w:val="DefaultParagraphFont"/>
    <w:rsid w:val="002871F2"/>
  </w:style>
  <w:style w:type="character" w:customStyle="1" w:styleId="address">
    <w:name w:val="address"/>
    <w:basedOn w:val="DefaultParagraphFont"/>
    <w:rsid w:val="002871F2"/>
  </w:style>
  <w:style w:type="character" w:styleId="Hyperlink">
    <w:name w:val="Hyperlink"/>
    <w:rsid w:val="0033492F"/>
    <w:rPr>
      <w:color w:val="0000FF"/>
      <w:u w:val="single"/>
    </w:rPr>
  </w:style>
  <w:style w:type="paragraph" w:styleId="NoSpacing">
    <w:name w:val="No Spacing"/>
    <w:uiPriority w:val="1"/>
    <w:qFormat/>
    <w:rsid w:val="0033492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65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10B"/>
  </w:style>
  <w:style w:type="paragraph" w:styleId="Footer">
    <w:name w:val="footer"/>
    <w:basedOn w:val="Normal"/>
    <w:link w:val="FooterChar"/>
    <w:uiPriority w:val="99"/>
    <w:unhideWhenUsed/>
    <w:rsid w:val="0016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7408">
      <w:bodyDiv w:val="1"/>
      <w:marLeft w:val="0"/>
      <w:marRight w:val="0"/>
      <w:marTop w:val="0"/>
      <w:marBottom w:val="0"/>
      <w:divBdr>
        <w:top w:val="none" w:sz="0" w:space="0" w:color="auto"/>
        <w:left w:val="none" w:sz="0" w:space="0" w:color="auto"/>
        <w:bottom w:val="none" w:sz="0" w:space="0" w:color="auto"/>
        <w:right w:val="none" w:sz="0" w:space="0" w:color="auto"/>
      </w:divBdr>
    </w:div>
    <w:div w:id="202711413">
      <w:bodyDiv w:val="1"/>
      <w:marLeft w:val="0"/>
      <w:marRight w:val="0"/>
      <w:marTop w:val="0"/>
      <w:marBottom w:val="0"/>
      <w:divBdr>
        <w:top w:val="none" w:sz="0" w:space="0" w:color="auto"/>
        <w:left w:val="none" w:sz="0" w:space="0" w:color="auto"/>
        <w:bottom w:val="none" w:sz="0" w:space="0" w:color="auto"/>
        <w:right w:val="none" w:sz="0" w:space="0" w:color="auto"/>
      </w:divBdr>
    </w:div>
    <w:div w:id="563490456">
      <w:bodyDiv w:val="1"/>
      <w:marLeft w:val="0"/>
      <w:marRight w:val="0"/>
      <w:marTop w:val="0"/>
      <w:marBottom w:val="0"/>
      <w:divBdr>
        <w:top w:val="none" w:sz="0" w:space="0" w:color="auto"/>
        <w:left w:val="none" w:sz="0" w:space="0" w:color="auto"/>
        <w:bottom w:val="none" w:sz="0" w:space="0" w:color="auto"/>
        <w:right w:val="none" w:sz="0" w:space="0" w:color="auto"/>
      </w:divBdr>
    </w:div>
    <w:div w:id="889614929">
      <w:bodyDiv w:val="1"/>
      <w:marLeft w:val="0"/>
      <w:marRight w:val="0"/>
      <w:marTop w:val="0"/>
      <w:marBottom w:val="0"/>
      <w:divBdr>
        <w:top w:val="none" w:sz="0" w:space="0" w:color="auto"/>
        <w:left w:val="none" w:sz="0" w:space="0" w:color="auto"/>
        <w:bottom w:val="none" w:sz="0" w:space="0" w:color="auto"/>
        <w:right w:val="none" w:sz="0" w:space="0" w:color="auto"/>
      </w:divBdr>
    </w:div>
    <w:div w:id="951209788">
      <w:bodyDiv w:val="1"/>
      <w:marLeft w:val="0"/>
      <w:marRight w:val="0"/>
      <w:marTop w:val="0"/>
      <w:marBottom w:val="0"/>
      <w:divBdr>
        <w:top w:val="none" w:sz="0" w:space="0" w:color="auto"/>
        <w:left w:val="none" w:sz="0" w:space="0" w:color="auto"/>
        <w:bottom w:val="none" w:sz="0" w:space="0" w:color="auto"/>
        <w:right w:val="none" w:sz="0" w:space="0" w:color="auto"/>
      </w:divBdr>
    </w:div>
    <w:div w:id="953559193">
      <w:bodyDiv w:val="1"/>
      <w:marLeft w:val="0"/>
      <w:marRight w:val="0"/>
      <w:marTop w:val="0"/>
      <w:marBottom w:val="0"/>
      <w:divBdr>
        <w:top w:val="none" w:sz="0" w:space="0" w:color="auto"/>
        <w:left w:val="none" w:sz="0" w:space="0" w:color="auto"/>
        <w:bottom w:val="none" w:sz="0" w:space="0" w:color="auto"/>
        <w:right w:val="none" w:sz="0" w:space="0" w:color="auto"/>
      </w:divBdr>
    </w:div>
    <w:div w:id="1165973596">
      <w:bodyDiv w:val="1"/>
      <w:marLeft w:val="0"/>
      <w:marRight w:val="0"/>
      <w:marTop w:val="0"/>
      <w:marBottom w:val="0"/>
      <w:divBdr>
        <w:top w:val="none" w:sz="0" w:space="0" w:color="auto"/>
        <w:left w:val="none" w:sz="0" w:space="0" w:color="auto"/>
        <w:bottom w:val="none" w:sz="0" w:space="0" w:color="auto"/>
        <w:right w:val="none" w:sz="0" w:space="0" w:color="auto"/>
      </w:divBdr>
    </w:div>
    <w:div w:id="1485664482">
      <w:bodyDiv w:val="1"/>
      <w:marLeft w:val="0"/>
      <w:marRight w:val="0"/>
      <w:marTop w:val="0"/>
      <w:marBottom w:val="0"/>
      <w:divBdr>
        <w:top w:val="none" w:sz="0" w:space="0" w:color="auto"/>
        <w:left w:val="none" w:sz="0" w:space="0" w:color="auto"/>
        <w:bottom w:val="none" w:sz="0" w:space="0" w:color="auto"/>
        <w:right w:val="none" w:sz="0" w:space="0" w:color="auto"/>
      </w:divBdr>
    </w:div>
    <w:div w:id="1872642241">
      <w:bodyDiv w:val="1"/>
      <w:marLeft w:val="0"/>
      <w:marRight w:val="0"/>
      <w:marTop w:val="0"/>
      <w:marBottom w:val="0"/>
      <w:divBdr>
        <w:top w:val="none" w:sz="0" w:space="0" w:color="auto"/>
        <w:left w:val="none" w:sz="0" w:space="0" w:color="auto"/>
        <w:bottom w:val="none" w:sz="0" w:space="0" w:color="auto"/>
        <w:right w:val="none" w:sz="0" w:space="0" w:color="auto"/>
      </w:divBdr>
    </w:div>
    <w:div w:id="2109344479">
      <w:bodyDiv w:val="1"/>
      <w:marLeft w:val="0"/>
      <w:marRight w:val="0"/>
      <w:marTop w:val="0"/>
      <w:marBottom w:val="0"/>
      <w:divBdr>
        <w:top w:val="none" w:sz="0" w:space="0" w:color="auto"/>
        <w:left w:val="none" w:sz="0" w:space="0" w:color="auto"/>
        <w:bottom w:val="none" w:sz="0" w:space="0" w:color="auto"/>
        <w:right w:val="none" w:sz="0" w:space="0" w:color="auto"/>
      </w:divBdr>
      <w:divsChild>
        <w:div w:id="780613272">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unningdale-p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346DAEFE57346888D7A0EEAA6CEA6" ma:contentTypeVersion="12" ma:contentTypeDescription="Create a new document." ma:contentTypeScope="" ma:versionID="43a121f84c80d7c45f56350b13d0d115">
  <xsd:schema xmlns:xsd="http://www.w3.org/2001/XMLSchema" xmlns:xs="http://www.w3.org/2001/XMLSchema" xmlns:p="http://schemas.microsoft.com/office/2006/metadata/properties" xmlns:ns3="87037488-ec5d-4aba-84c2-9b1d22638e8e" xmlns:ns4="e68ee702-1953-4882-922b-d9892e68f830" targetNamespace="http://schemas.microsoft.com/office/2006/metadata/properties" ma:root="true" ma:fieldsID="5730f5cd152ae7fa2cb2e01cbbc461f4" ns3:_="" ns4:_="">
    <xsd:import namespace="87037488-ec5d-4aba-84c2-9b1d22638e8e"/>
    <xsd:import namespace="e68ee702-1953-4882-922b-d9892e68f830"/>
    <xsd:element name="properties">
      <xsd:complexType>
        <xsd:sequence>
          <xsd:element name="documentManagement">
            <xsd:complexType>
              <xsd:all>
                <xsd:element ref="ns3:b1b820adfd3e4a078472514c1a5cb5ff" minOccurs="0"/>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bce2cff-e70c-44c3-a302-20fb52a3e281}" ma:internalName="TaxCatchAll" ma:showField="CatchAllData" ma:web="e35b2ae1-8152-4431-a745-f4e714548cd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bce2cff-e70c-44c3-a302-20fb52a3e281}" ma:internalName="TaxCatchAllLabel" ma:readOnly="true" ma:showField="CatchAllDataLabel" ma:web="e35b2ae1-8152-4431-a745-f4e714548c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8ee702-1953-4882-922b-d9892e68f83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bf472f7-a010-4b5a-bb99-a26ed4c9968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Props1.xml><?xml version="1.0" encoding="utf-8"?>
<ds:datastoreItem xmlns:ds="http://schemas.openxmlformats.org/officeDocument/2006/customXml" ds:itemID="{96E13D11-5ABD-43A5-A9C9-B6820CCAB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e68ee702-1953-4882-922b-d9892e68f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4CD80-4229-41AB-BA1E-D4BEF26F6E9C}">
  <ds:schemaRefs>
    <ds:schemaRef ds:uri="Microsoft.SharePoint.Taxonomy.ContentTypeSync"/>
  </ds:schemaRefs>
</ds:datastoreItem>
</file>

<file path=customXml/itemProps3.xml><?xml version="1.0" encoding="utf-8"?>
<ds:datastoreItem xmlns:ds="http://schemas.openxmlformats.org/officeDocument/2006/customXml" ds:itemID="{752A138C-A3AD-42B9-BD97-0C5B31ED30F3}">
  <ds:schemaRefs>
    <ds:schemaRef ds:uri="http://schemas.microsoft.com/sharepoint/v3/contenttype/forms"/>
  </ds:schemaRefs>
</ds:datastoreItem>
</file>

<file path=customXml/itemProps4.xml><?xml version="1.0" encoding="utf-8"?>
<ds:datastoreItem xmlns:ds="http://schemas.openxmlformats.org/officeDocument/2006/customXml" ds:itemID="{07E887CF-D7CE-47A8-9CCA-0A3652504B5A}">
  <ds:schemaRefs>
    <ds:schemaRef ds:uri="http://schemas.microsoft.com/office/2006/metadata/properties"/>
    <ds:schemaRef ds:uri="http://schemas.microsoft.com/office/infopath/2007/PartnerControls"/>
    <ds:schemaRef ds:uri="87037488-ec5d-4aba-84c2-9b1d22638e8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Herb_Yvonne Jacklin</dc:creator>
  <cp:keywords/>
  <dc:description/>
  <cp:lastModifiedBy>Emily Davies</cp:lastModifiedBy>
  <cp:revision>6</cp:revision>
  <cp:lastPrinted>2020-05-26T11:19:00Z</cp:lastPrinted>
  <dcterms:created xsi:type="dcterms:W3CDTF">2020-05-26T11:18:00Z</dcterms:created>
  <dcterms:modified xsi:type="dcterms:W3CDTF">2020-08-18T09:19:00Z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0x010100901346DAEFE57346888D7A0EEAA6CEA6</vt:lpwstr>
  </property>
</Properties>
</file>